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after="800"/>
      </w:pPr>
      <w:r>
        <w:rPr>
          <w:rFonts w:ascii="Arial" w:hAnsi="Arial"/>
          <w:b/>
          <w:i w:val="0"/>
          <w:color w:val="888888"/>
          <w:sz w:val="16"/>
        </w:rPr>
        <w:t>V06  /  CONSOLIDATED DEEP RESEARCH</w:t>
      </w:r>
    </w:p>
    <w:p>
      <w:pPr>
        <w:pStyle w:val="Title"/>
        <w:spacing w:after="160"/>
      </w:pPr>
      <w:r>
        <w:t>Worker Accommodation</w:t>
      </w:r>
    </w:p>
    <w:p>
      <w:pPr>
        <w:keepNext w:val="0"/>
        <w:spacing w:after="360"/>
      </w:pPr>
      <w:r>
        <w:rPr>
          <w:rFonts w:ascii="Arial" w:hAnsi="Arial"/>
          <w:b/>
          <w:i w:val="0"/>
          <w:color w:val="555555"/>
          <w:sz w:val="20"/>
        </w:rPr>
        <w:t>B2B LIVING INFRASTRUCTURE</w:t>
      </w:r>
    </w:p>
    <w:p>
      <w:pPr>
        <w:keepNext w:val="0"/>
        <w:spacing w:after="480"/>
      </w:pPr>
      <w:r>
        <w:rPr>
          <w:rFonts w:ascii="Arial" w:hAnsi="Arial"/>
          <w:b w:val="0"/>
          <w:i w:val="0"/>
          <w:color w:val="252525"/>
          <w:sz w:val="30"/>
        </w:rPr>
        <w:t>Contract employer demand before committing to beds or buildings.</w:t>
      </w:r>
    </w:p>
    <w:p>
      <w:pPr>
        <w:spacing w:before="40" w:after="360"/>
        <w:pBdr>
          <w:bottom w:val="single" w:sz="8" w:space="1" w:color="111111"/>
        </w:pBdr>
      </w:pPr>
    </w:p>
    <w:p>
      <w:pPr>
        <w:spacing w:after="80"/>
      </w:pPr>
      <w:r>
        <w:rPr>
          <w:rFonts w:ascii="Arial" w:hAnsi="Arial"/>
          <w:b/>
          <w:i w:val="0"/>
          <w:color w:val="555555"/>
          <w:sz w:val="19"/>
        </w:rPr>
        <w:t xml:space="preserve">Geographic scope: </w:t>
      </w:r>
      <w:r>
        <w:rPr>
          <w:rFonts w:ascii="Arial" w:hAnsi="Arial"/>
          <w:b w:val="0"/>
          <w:i w:val="0"/>
          <w:color w:val="111111"/>
          <w:sz w:val="19"/>
        </w:rPr>
        <w:t>UAE</w:t>
      </w:r>
    </w:p>
    <w:p>
      <w:pPr>
        <w:spacing w:after="80"/>
      </w:pPr>
      <w:r>
        <w:rPr>
          <w:rFonts w:ascii="Arial" w:hAnsi="Arial"/>
          <w:b/>
          <w:i w:val="0"/>
          <w:color w:val="555555"/>
          <w:sz w:val="19"/>
        </w:rPr>
        <w:t xml:space="preserve">Data cut-off: </w:t>
      </w:r>
      <w:r>
        <w:rPr>
          <w:rFonts w:ascii="Arial" w:hAnsi="Arial"/>
          <w:b w:val="0"/>
          <w:i w:val="0"/>
          <w:color w:val="111111"/>
          <w:sz w:val="19"/>
        </w:rPr>
        <w:t>31 August 2026</w:t>
      </w:r>
    </w:p>
    <w:p>
      <w:pPr>
        <w:spacing w:after="80"/>
      </w:pPr>
      <w:r>
        <w:rPr>
          <w:rFonts w:ascii="Arial" w:hAnsi="Arial"/>
          <w:b/>
          <w:i w:val="0"/>
          <w:color w:val="555555"/>
          <w:sz w:val="19"/>
        </w:rPr>
        <w:t xml:space="preserve">Decision: </w:t>
      </w:r>
      <w:r>
        <w:rPr>
          <w:rFonts w:ascii="Arial" w:hAnsi="Arial"/>
          <w:b w:val="0"/>
          <w:i w:val="0"/>
          <w:color w:val="111111"/>
          <w:sz w:val="19"/>
        </w:rPr>
        <w:t>CONDITIONAL GO - demand first</w:t>
      </w:r>
    </w:p>
    <w:p>
      <w:pPr>
        <w:spacing w:after="80"/>
      </w:pPr>
      <w:r>
        <w:rPr>
          <w:rFonts w:ascii="Arial" w:hAnsi="Arial"/>
          <w:b/>
          <w:i w:val="0"/>
          <w:color w:val="555555"/>
          <w:sz w:val="19"/>
        </w:rPr>
        <w:t xml:space="preserve">Risk level: </w:t>
      </w:r>
      <w:r>
        <w:rPr>
          <w:rFonts w:ascii="Arial" w:hAnsi="Arial"/>
          <w:b w:val="0"/>
          <w:i w:val="0"/>
          <w:color w:val="111111"/>
          <w:sz w:val="19"/>
        </w:rPr>
        <w:t>Medium-High</w:t>
      </w:r>
    </w:p>
    <w:p>
      <w:pPr>
        <w:spacing w:after="80"/>
      </w:pPr>
      <w:r>
        <w:rPr>
          <w:rFonts w:ascii="Arial" w:hAnsi="Arial"/>
          <w:b/>
          <w:i w:val="0"/>
          <w:color w:val="555555"/>
          <w:sz w:val="19"/>
        </w:rPr>
        <w:t xml:space="preserve">Controlling source: </w:t>
      </w:r>
      <w:r>
        <w:rPr>
          <w:rFonts w:ascii="Arial" w:hAnsi="Arial"/>
          <w:b w:val="0"/>
          <w:i w:val="0"/>
          <w:color w:val="111111"/>
          <w:sz w:val="19"/>
        </w:rPr>
        <w:t>ALFA New Ventures Master Data Register v1.0</w:t>
      </w:r>
    </w:p>
    <w:p>
      <w:pPr>
        <w:keepNext w:val="0"/>
        <w:spacing w:after="480"/>
      </w:pPr>
      <w:r>
        <w:rPr>
          <w:rFonts w:ascii="Arial" w:hAnsi="Arial"/>
          <w:b w:val="0"/>
          <w:i/>
          <w:color w:val="888888"/>
          <w:sz w:val="18"/>
        </w:rPr>
        <w:t>Consolidated from completed research and locked evidence. Internal decision review.</w:t>
      </w:r>
    </w:p>
    <w:tbl>
      <w:tblPr>
        <w:tblStyle w:val="TableGrid"/>
        <w:tblW w:type="dxa" w:w="9640"/>
        <w:jc w:val="left"/>
        <w:tblLayout w:type="fixed"/>
        <w:tblLook w:firstColumn="1" w:firstRow="1" w:lastColumn="0" w:lastRow="0" w:noHBand="0" w:noVBand="1" w:val="04A0"/>
        <w:tblInd w:w="0" w:type="dxa"/>
      </w:tblPr>
      <w:tblGrid>
        <w:gridCol w:w="2410"/>
        <w:gridCol w:w="2410"/>
        <w:gridCol w:w="2410"/>
        <w:gridCol w:w="2410"/>
      </w:tblGrid>
      <w:tr>
        <w:trPr>
          <w:cantSplit/>
        </w:trPr>
        <w:tc>
          <w:tcPr>
            <w:tcW w:type="dxa" w:w="2410"/>
            <w:shd w:fill="F3F3F3"/>
            <w:tcMar>
              <w:top w:w="90" w:type="dxa"/>
              <w:start w:w="120" w:type="dxa"/>
              <w:bottom w:w="90" w:type="dxa"/>
              <w:end w:w="120" w:type="dxa"/>
            </w:tcMar>
          </w:tcPr>
          <w:p>
            <w:pPr>
              <w:spacing w:after="60"/>
            </w:pPr>
            <w:r>
              <w:rPr>
                <w:rFonts w:ascii="Arial" w:hAnsi="Arial"/>
                <w:b/>
                <w:i w:val="0"/>
                <w:color w:val="111111"/>
                <w:sz w:val="30"/>
              </w:rPr>
              <w:t>approximately 1.9M</w:t>
            </w:r>
          </w:p>
          <w:p>
            <w:pPr>
              <w:spacing w:after="0"/>
            </w:pPr>
            <w:r>
              <w:rPr>
                <w:rFonts w:ascii="Arial" w:hAnsi="Arial"/>
                <w:b/>
                <w:i w:val="0"/>
                <w:color w:val="555555"/>
                <w:sz w:val="14"/>
              </w:rPr>
              <w:t>Registered-beneficiary physical TAM</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135898</w:t>
            </w:r>
          </w:p>
          <w:p>
            <w:pPr>
              <w:spacing w:after="0"/>
            </w:pPr>
            <w:r>
              <w:rPr>
                <w:rFonts w:ascii="Arial" w:hAnsi="Arial"/>
                <w:b/>
                <w:i w:val="0"/>
                <w:color w:val="555555"/>
                <w:sz w:val="14"/>
              </w:rPr>
              <w:t>Sdeira leased beds</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98%</w:t>
            </w:r>
          </w:p>
          <w:p>
            <w:pPr>
              <w:spacing w:after="0"/>
            </w:pPr>
            <w:r>
              <w:rPr>
                <w:rFonts w:ascii="Arial" w:hAnsi="Arial"/>
                <w:b/>
                <w:i w:val="0"/>
                <w:color w:val="555555"/>
                <w:sz w:val="14"/>
              </w:rPr>
              <w:t>Sdeira occupancy</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5.76M</w:t>
            </w:r>
          </w:p>
          <w:p>
            <w:pPr>
              <w:spacing w:after="0"/>
            </w:pPr>
            <w:r>
              <w:rPr>
                <w:rFonts w:ascii="Arial" w:hAnsi="Arial"/>
                <w:b/>
                <w:i w:val="0"/>
                <w:color w:val="555555"/>
                <w:sz w:val="14"/>
              </w:rPr>
              <w:t>Initial capital</w:t>
            </w:r>
          </w:p>
        </w:tc>
      </w:tr>
    </w:tbl>
    <w:p>
      <w:pPr>
        <w:spacing w:after="60"/>
      </w:pPr>
    </w:p>
    <w:p>
      <w:pPr>
        <w:keepNext w:val="0"/>
        <w:spacing w:after="80"/>
      </w:pPr>
      <w:r>
        <w:rPr>
          <w:rFonts w:ascii="Arial" w:hAnsi="Arial"/>
          <w:b/>
          <w:i w:val="0"/>
          <w:color w:val="888888"/>
          <w:sz w:val="16"/>
        </w:rPr>
        <w:t>Evidence rule</w:t>
      </w:r>
    </w:p>
    <w:p>
      <w:pPr>
        <w:keepNext w:val="0"/>
        <w:spacing w:after="0"/>
      </w:pPr>
      <w:r>
        <w:rPr>
          <w:rFonts w:ascii="Arial" w:hAnsi="Arial"/>
          <w:b w:val="0"/>
          <w:i w:val="0"/>
          <w:color w:val="555555"/>
          <w:sz w:val="18"/>
        </w:rPr>
        <w:t>Published facts, company-reported figures, calculations and modelled assumptions remain separately labelled. Missing quotations, contracts and live operating evidence have not been invented.</w:t>
      </w:r>
    </w:p>
    <w:p>
      <w:r>
        <w:br w:type="page"/>
      </w:r>
    </w:p>
    <w:p>
      <w:pPr>
        <w:pStyle w:val="Heading1"/>
      </w:pPr>
      <w:r>
        <w:t>Report map</w:t>
      </w:r>
    </w:p>
    <w:tbl>
      <w:tblPr>
        <w:tblStyle w:val="TableGrid"/>
        <w:tblW w:type="dxa" w:w="9640"/>
        <w:tblLayout w:type="fixed"/>
        <w:tblLook w:firstColumn="1" w:firstRow="1" w:lastColumn="0" w:lastRow="0" w:noHBand="0" w:noVBand="1" w:val="04A0"/>
        <w:jc w:val="left"/>
        <w:tblInd w:w="0" w:type="dxa"/>
      </w:tblPr>
      <w:tblGrid>
        <w:gridCol w:w="1300"/>
        <w:gridCol w:w="8340"/>
      </w:tblGrid>
      <w:tr>
        <w:trPr>
          <w:cantSplit/>
          <w:tblHeader w:val="true"/>
          <w:cantSplit/>
        </w:trPr>
        <w:tc>
          <w:tcPr>
            <w:tcW w:type="dxa" w:w="1300"/>
            <w:tcMar>
              <w:top w:w="90" w:type="dxa"/>
              <w:start w:w="120" w:type="dxa"/>
              <w:bottom w:w="90" w:type="dxa"/>
              <w:end w:w="120" w:type="dxa"/>
            </w:tcMar>
            <w:shd w:fill="111111"/>
            <w:vAlign w:val="center"/>
          </w:tcPr>
          <w:p>
            <w:pPr>
              <w:spacing w:after="0"/>
            </w:pPr>
            <w:r>
              <w:rPr>
                <w:rFonts w:ascii="Arial" w:hAnsi="Arial"/>
                <w:b/>
                <w:i w:val="0"/>
                <w:color w:val="FFFFFF"/>
                <w:sz w:val="18"/>
              </w:rPr>
              <w:t>SECTION</w:t>
            </w:r>
          </w:p>
        </w:tc>
        <w:tc>
          <w:tcPr>
            <w:tcW w:type="dxa" w:w="8340"/>
            <w:tcMar>
              <w:top w:w="90" w:type="dxa"/>
              <w:start w:w="120" w:type="dxa"/>
              <w:bottom w:w="90" w:type="dxa"/>
              <w:end w:w="120" w:type="dxa"/>
            </w:tcMar>
            <w:shd w:fill="111111"/>
            <w:vAlign w:val="center"/>
          </w:tcPr>
          <w:p>
            <w:pPr>
              <w:spacing w:after="0"/>
            </w:pPr>
            <w:r>
              <w:rPr>
                <w:rFonts w:ascii="Arial" w:hAnsi="Arial"/>
                <w:b/>
                <w:i w:val="0"/>
                <w:color w:val="FFFFFF"/>
                <w:sz w:val="18"/>
              </w:rPr>
              <w:t>CONTENT</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01</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Decision and scope</w:t>
            </w:r>
          </w:p>
        </w:tc>
      </w:tr>
      <w:tr>
        <w:trPr>
          <w:cantSplit/>
          <w:cantSplit/>
        </w:trPr>
        <w:tc>
          <w:tcPr>
            <w:tcW w:type="dxa" w:w="1300"/>
            <w:shd w:fill="FFFFFF"/>
            <w:vAlign w:val="top"/>
            <w:tcMar>
              <w:top w:w="90" w:type="dxa"/>
              <w:start w:w="120" w:type="dxa"/>
              <w:bottom w:w="90" w:type="dxa"/>
              <w:end w:w="120" w:type="dxa"/>
            </w:tcMar>
          </w:tcPr>
          <w:p>
            <w:pPr>
              <w:spacing w:after="0"/>
            </w:pPr>
            <w:r>
              <w:rPr>
                <w:rFonts w:ascii="Arial" w:hAnsi="Arial"/>
                <w:b/>
                <w:i w:val="0"/>
                <w:color w:val="111111"/>
                <w:sz w:val="18"/>
              </w:rPr>
              <w:t>02</w:t>
            </w:r>
          </w:p>
        </w:tc>
        <w:tc>
          <w:tcPr>
            <w:tcW w:type="dxa" w:w="8340"/>
            <w:shd w:fill="FFFFFF"/>
            <w:vAlign w:val="top"/>
            <w:tcMar>
              <w:top w:w="90" w:type="dxa"/>
              <w:start w:w="120" w:type="dxa"/>
              <w:bottom w:w="90" w:type="dxa"/>
              <w:end w:w="120" w:type="dxa"/>
            </w:tcMar>
          </w:tcPr>
          <w:p>
            <w:pPr>
              <w:spacing w:after="0"/>
            </w:pPr>
            <w:r>
              <w:rPr>
                <w:rFonts w:ascii="Arial" w:hAnsi="Arial"/>
                <w:b w:val="0"/>
                <w:i w:val="0"/>
                <w:color w:val="111111"/>
                <w:sz w:val="18"/>
              </w:rPr>
              <w:t>Business model and market</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03</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Commercial model, capital and returns</w:t>
            </w:r>
          </w:p>
        </w:tc>
      </w:tr>
      <w:tr>
        <w:trPr>
          <w:cantSplit/>
          <w:cantSplit/>
        </w:trPr>
        <w:tc>
          <w:tcPr>
            <w:tcW w:type="dxa" w:w="1300"/>
            <w:shd w:fill="FFFFFF"/>
            <w:vAlign w:val="top"/>
            <w:tcMar>
              <w:top w:w="90" w:type="dxa"/>
              <w:start w:w="120" w:type="dxa"/>
              <w:bottom w:w="90" w:type="dxa"/>
              <w:end w:w="120" w:type="dxa"/>
            </w:tcMar>
          </w:tcPr>
          <w:p>
            <w:pPr>
              <w:spacing w:after="0"/>
            </w:pPr>
            <w:r>
              <w:rPr>
                <w:rFonts w:ascii="Arial" w:hAnsi="Arial"/>
                <w:b/>
                <w:i w:val="0"/>
                <w:color w:val="111111"/>
                <w:sz w:val="18"/>
              </w:rPr>
              <w:t>04</w:t>
            </w:r>
          </w:p>
        </w:tc>
        <w:tc>
          <w:tcPr>
            <w:tcW w:type="dxa" w:w="8340"/>
            <w:shd w:fill="FFFFFF"/>
            <w:vAlign w:val="top"/>
            <w:tcMar>
              <w:top w:w="90" w:type="dxa"/>
              <w:start w:w="120" w:type="dxa"/>
              <w:bottom w:w="90" w:type="dxa"/>
              <w:end w:w="120" w:type="dxa"/>
            </w:tcMar>
          </w:tcPr>
          <w:p>
            <w:pPr>
              <w:spacing w:after="0"/>
            </w:pPr>
            <w:r>
              <w:rPr>
                <w:rFonts w:ascii="Arial" w:hAnsi="Arial"/>
                <w:b w:val="0"/>
                <w:i w:val="0"/>
                <w:color w:val="111111"/>
                <w:sz w:val="18"/>
              </w:rPr>
              <w:t>Operations, regulation and risks</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05</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Diligence, conflicts and evidence register</w:t>
            </w:r>
          </w:p>
        </w:tc>
      </w:tr>
    </w:tbl>
    <w:p>
      <w:pPr>
        <w:spacing w:after="40"/>
      </w:pPr>
    </w:p>
    <w:p>
      <w:pPr>
        <w:keepNext w:val="0"/>
        <w:spacing w:after="120"/>
      </w:pPr>
      <w:r>
        <w:rPr>
          <w:rFonts w:ascii="Arial" w:hAnsi="Arial"/>
          <w:b w:val="0"/>
          <w:i w:val="0"/>
          <w:color w:val="555555"/>
          <w:sz w:val="18"/>
        </w:rPr>
        <w:t>Use Word's navigation pane to move through the heading hierarchy. Every material figure is repeated in the claim register with its evidence classification and source reference.</w:t>
      </w:r>
    </w:p>
    <w:p>
      <w:pPr>
        <w:pStyle w:val="Heading1"/>
      </w:pPr>
      <w:r>
        <w:t>Executive summary</w:t>
      </w:r>
    </w:p>
    <w:p>
      <w:pPr>
        <w:keepNext w:val="0"/>
        <w:spacing w:after="200"/>
      </w:pPr>
      <w:r>
        <w:rPr>
          <w:rFonts w:ascii="Arial" w:hAnsi="Arial"/>
          <w:b w:val="0"/>
          <w:i w:val="0"/>
          <w:color w:val="111111"/>
          <w:sz w:val="22"/>
        </w:rPr>
        <w:t>Demand must be contracted before beds or buildings. The sequence is master-lease validation, selective acquisition, then development only against a pre-lease.</w:t>
      </w:r>
    </w:p>
    <w:tbl>
      <w:tblPr>
        <w:tblStyle w:val="TableGrid"/>
        <w:tblW w:type="dxa" w:w="9640"/>
        <w:jc w:val="left"/>
        <w:tblLayout w:type="fixed"/>
        <w:tblLook w:firstColumn="1" w:firstRow="1" w:lastColumn="0" w:lastRow="0" w:noHBand="0" w:noVBand="1" w:val="04A0"/>
        <w:tblInd w:w="0" w:type="dxa"/>
      </w:tblPr>
      <w:tblGrid>
        <w:gridCol w:w="2410"/>
        <w:gridCol w:w="2410"/>
        <w:gridCol w:w="2410"/>
        <w:gridCol w:w="2410"/>
      </w:tblGrid>
      <w:tr>
        <w:trPr>
          <w:cantSplit/>
        </w:trPr>
        <w:tc>
          <w:tcPr>
            <w:tcW w:type="dxa" w:w="2410"/>
            <w:shd w:fill="F3F3F3"/>
            <w:tcMar>
              <w:top w:w="90" w:type="dxa"/>
              <w:start w:w="120" w:type="dxa"/>
              <w:bottom w:w="90" w:type="dxa"/>
              <w:end w:w="120" w:type="dxa"/>
            </w:tcMar>
          </w:tcPr>
          <w:p>
            <w:pPr>
              <w:spacing w:after="60"/>
            </w:pPr>
            <w:r>
              <w:rPr>
                <w:rFonts w:ascii="Arial" w:hAnsi="Arial"/>
                <w:b/>
                <w:i w:val="0"/>
                <w:color w:val="111111"/>
                <w:sz w:val="30"/>
              </w:rPr>
              <w:t>approximately 1.9M</w:t>
            </w:r>
          </w:p>
          <w:p>
            <w:pPr>
              <w:spacing w:after="0"/>
            </w:pPr>
            <w:r>
              <w:rPr>
                <w:rFonts w:ascii="Arial" w:hAnsi="Arial"/>
                <w:b/>
                <w:i w:val="0"/>
                <w:color w:val="555555"/>
                <w:sz w:val="14"/>
              </w:rPr>
              <w:t>Registered-beneficiary physical TAM</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135898</w:t>
            </w:r>
          </w:p>
          <w:p>
            <w:pPr>
              <w:spacing w:after="0"/>
            </w:pPr>
            <w:r>
              <w:rPr>
                <w:rFonts w:ascii="Arial" w:hAnsi="Arial"/>
                <w:b/>
                <w:i w:val="0"/>
                <w:color w:val="555555"/>
                <w:sz w:val="14"/>
              </w:rPr>
              <w:t>Sdeira leased beds</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98%</w:t>
            </w:r>
          </w:p>
          <w:p>
            <w:pPr>
              <w:spacing w:after="0"/>
            </w:pPr>
            <w:r>
              <w:rPr>
                <w:rFonts w:ascii="Arial" w:hAnsi="Arial"/>
                <w:b/>
                <w:i w:val="0"/>
                <w:color w:val="555555"/>
                <w:sz w:val="14"/>
              </w:rPr>
              <w:t>Sdeira occupancy</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5.76M</w:t>
            </w:r>
          </w:p>
          <w:p>
            <w:pPr>
              <w:spacing w:after="0"/>
            </w:pPr>
            <w:r>
              <w:rPr>
                <w:rFonts w:ascii="Arial" w:hAnsi="Arial"/>
                <w:b/>
                <w:i w:val="0"/>
                <w:color w:val="555555"/>
                <w:sz w:val="14"/>
              </w:rPr>
              <w:t>Initial capital</w:t>
            </w:r>
          </w:p>
        </w:tc>
      </w:tr>
    </w:tbl>
    <w:p>
      <w:pPr>
        <w:spacing w:after="60"/>
      </w:pPr>
    </w:p>
    <w:tbl>
      <w:tblPr>
        <w:tblStyle w:val="TableGrid"/>
        <w:tblW w:type="dxa" w:w="9640"/>
        <w:tblLayout w:type="fixed"/>
        <w:tblLook w:firstColumn="1" w:firstRow="1" w:lastColumn="0" w:lastRow="0" w:noHBand="0" w:noVBand="1" w:val="04A0"/>
        <w:jc w:val="left"/>
        <w:tblInd w:w="0" w:type="dxa"/>
      </w:tblPr>
      <w:tblGrid>
        <w:gridCol w:w="2300"/>
        <w:gridCol w:w="7340"/>
      </w:tblGrid>
      <w:tr>
        <w:trPr>
          <w:cantSplit/>
          <w:tblHeader w:val="true"/>
          <w:cantSplit/>
        </w:trPr>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7"/>
              </w:rPr>
              <w:t>DECISION ITEM</w:t>
            </w:r>
          </w:p>
        </w:tc>
        <w:tc>
          <w:tcPr>
            <w:tcW w:type="dxa" w:w="7340"/>
            <w:tcMar>
              <w:top w:w="90" w:type="dxa"/>
              <w:start w:w="120" w:type="dxa"/>
              <w:bottom w:w="90" w:type="dxa"/>
              <w:end w:w="120" w:type="dxa"/>
            </w:tcMar>
            <w:shd w:fill="111111"/>
            <w:vAlign w:val="center"/>
          </w:tcPr>
          <w:p>
            <w:pPr>
              <w:spacing w:after="0"/>
            </w:pPr>
            <w:r>
              <w:rPr>
                <w:rFonts w:ascii="Arial" w:hAnsi="Arial"/>
                <w:b/>
                <w:i w:val="0"/>
                <w:color w:val="FFFFFF"/>
                <w:sz w:val="17"/>
              </w:rPr>
              <w:t>LOCKED POSITION</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7"/>
              </w:rPr>
              <w:t>Decision</w:t>
            </w:r>
          </w:p>
        </w:tc>
        <w:tc>
          <w:tcPr>
            <w:tcW w:type="dxa" w:w="7340"/>
            <w:shd w:fill="F3F3F3"/>
            <w:vAlign w:val="top"/>
            <w:tcMar>
              <w:top w:w="90" w:type="dxa"/>
              <w:start w:w="120" w:type="dxa"/>
              <w:bottom w:w="90" w:type="dxa"/>
              <w:end w:w="120" w:type="dxa"/>
            </w:tcMar>
          </w:tcPr>
          <w:p>
            <w:pPr>
              <w:spacing w:after="0"/>
            </w:pPr>
            <w:r>
              <w:rPr>
                <w:rFonts w:ascii="Arial" w:hAnsi="Arial"/>
                <w:b w:val="0"/>
                <w:i w:val="0"/>
                <w:color w:val="111111"/>
                <w:sz w:val="17"/>
              </w:rPr>
              <w:t>CONDITIONAL GO - demand first</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7"/>
              </w:rPr>
              <w:t>Preferred model</w:t>
            </w:r>
          </w:p>
        </w:tc>
        <w:tc>
          <w:tcPr>
            <w:tcW w:type="dxa" w:w="7340"/>
            <w:shd w:fill="FFFFFF"/>
            <w:vAlign w:val="top"/>
            <w:tcMar>
              <w:top w:w="90" w:type="dxa"/>
              <w:start w:w="120" w:type="dxa"/>
              <w:bottom w:w="90" w:type="dxa"/>
              <w:end w:w="120" w:type="dxa"/>
            </w:tcMar>
          </w:tcPr>
          <w:p>
            <w:pPr>
              <w:spacing w:after="0"/>
            </w:pPr>
            <w:r>
              <w:rPr>
                <w:rFonts w:ascii="Arial" w:hAnsi="Arial"/>
                <w:b w:val="0"/>
                <w:i w:val="0"/>
                <w:color w:val="111111"/>
                <w:sz w:val="17"/>
              </w:rPr>
              <w:t>Validate operations through a contracted master-lease pilot, then acquire properly priced compliant stock; develop only with a pre-lease.</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7"/>
              </w:rPr>
              <w:t>Gate before commitment</w:t>
            </w:r>
          </w:p>
        </w:tc>
        <w:tc>
          <w:tcPr>
            <w:tcW w:type="dxa" w:w="7340"/>
            <w:shd w:fill="F3F3F3"/>
            <w:vAlign w:val="top"/>
            <w:tcMar>
              <w:top w:w="90" w:type="dxa"/>
              <w:start w:w="120" w:type="dxa"/>
              <w:bottom w:w="90" w:type="dxa"/>
              <w:end w:w="120" w:type="dxa"/>
            </w:tcMar>
          </w:tcPr>
          <w:p>
            <w:pPr>
              <w:spacing w:after="0"/>
            </w:pPr>
            <w:r>
              <w:rPr>
                <w:rFonts w:ascii="Arial" w:hAnsi="Arial"/>
                <w:b w:val="0"/>
                <w:i w:val="0"/>
                <w:color w:val="111111"/>
                <w:sz w:val="17"/>
              </w:rPr>
              <w:t>At least 75% signed take-or-pay commitment before a head lease; employer credit, compliance and customer concentration must pass diligence.</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7"/>
              </w:rPr>
              <w:t>Source status</w:t>
            </w:r>
          </w:p>
        </w:tc>
        <w:tc>
          <w:tcPr>
            <w:tcW w:type="dxa" w:w="7340"/>
            <w:shd w:fill="FFFFFF"/>
            <w:vAlign w:val="top"/>
            <w:tcMar>
              <w:top w:w="90" w:type="dxa"/>
              <w:start w:w="120" w:type="dxa"/>
              <w:bottom w:w="90" w:type="dxa"/>
              <w:end w:w="120" w:type="dxa"/>
            </w:tcMar>
          </w:tcPr>
          <w:p>
            <w:pPr>
              <w:spacing w:after="0"/>
            </w:pPr>
            <w:r>
              <w:rPr>
                <w:rFonts w:ascii="Arial" w:hAnsi="Arial"/>
                <w:b w:val="0"/>
                <w:i w:val="0"/>
                <w:color w:val="111111"/>
                <w:sz w:val="17"/>
              </w:rPr>
              <w:t>Standalone deep research completed; formal consolidated document pending.</w:t>
            </w:r>
          </w:p>
        </w:tc>
      </w:tr>
    </w:tbl>
    <w:p>
      <w:pPr>
        <w:spacing w:after="40"/>
      </w:pPr>
    </w:p>
    <w:p>
      <w:pPr>
        <w:pStyle w:val="Heading2"/>
      </w:pPr>
      <w:r>
        <w:t>Principal advantages</w:t>
      </w:r>
    </w:p>
    <w:p>
      <w:pPr>
        <w:pStyle w:val="ListBullet"/>
      </w:pPr>
      <w:r>
        <w:t>Contract employer demand before committing to beds or buildings.</w:t>
      </w:r>
    </w:p>
    <w:p>
      <w:pPr>
        <w:pStyle w:val="ListBullet"/>
      </w:pPr>
      <w:r>
        <w:t>Sites must be selected against employer catchment, transport time, compliance, bed density and total delivered cost.</w:t>
      </w:r>
    </w:p>
    <w:p>
      <w:pPr>
        <w:pStyle w:val="ListBullet"/>
      </w:pPr>
      <w:r>
        <w:t>The selected entry model is: Validate operations through a contracted master-lease pilot, then acquire properly priced compliant stock; develop only with a pre-lease.</w:t>
      </w:r>
    </w:p>
    <w:p>
      <w:pPr>
        <w:pStyle w:val="Heading2"/>
      </w:pPr>
      <w:r>
        <w:t>Principal weaknesses</w:t>
      </w:r>
    </w:p>
    <w:p>
      <w:pPr>
        <w:pStyle w:val="ListBullet"/>
      </w:pPr>
      <w:r>
        <w:t>Entering a head lease without sufficient take-or-pay demand</w:t>
      </w:r>
    </w:p>
    <w:p>
      <w:pPr>
        <w:pStyle w:val="ListBullet"/>
      </w:pPr>
      <w:r>
        <w:t>Employer default or concentration</w:t>
      </w:r>
    </w:p>
    <w:p>
      <w:pPr>
        <w:pStyle w:val="ListBullet"/>
      </w:pPr>
      <w:r>
        <w:t>Compliance failure</w:t>
      </w:r>
    </w:p>
    <w:p>
      <w:pPr>
        <w:pStyle w:val="ListBullet"/>
      </w:pPr>
      <w:r>
        <w:t>Occupancy and operating-cost volatility</w:t>
      </w:r>
    </w:p>
    <w:p>
      <w:r>
        <w:br w:type="page"/>
      </w:r>
    </w:p>
    <w:p>
      <w:pPr>
        <w:pStyle w:val="Heading1"/>
      </w:pPr>
      <w:r>
        <w:t>Research scope and business model</w:t>
      </w:r>
    </w:p>
    <w:p>
      <w:pPr>
        <w:keepNext w:val="0"/>
        <w:spacing w:after="120"/>
      </w:pPr>
      <w:r>
        <w:rPr>
          <w:rFonts w:ascii="Arial" w:hAnsi="Arial"/>
          <w:b w:val="0"/>
          <w:i w:val="0"/>
          <w:color w:val="111111"/>
          <w:sz w:val="20"/>
        </w:rPr>
        <w:t>This report formalises the locked decision case for Worker Accommodation. It preserves the current evidence boundary and identifies the commercial proof required before commitment.</w:t>
      </w:r>
    </w:p>
    <w:p>
      <w:pPr>
        <w:pStyle w:val="Heading2"/>
      </w:pPr>
      <w:r>
        <w:t>Customer groups</w:t>
      </w:r>
    </w:p>
    <w:p>
      <w:pPr>
        <w:pStyle w:val="ListBullet"/>
      </w:pPr>
      <w:r>
        <w:t>Construction and industrial employers</w:t>
      </w:r>
    </w:p>
    <w:p>
      <w:pPr>
        <w:pStyle w:val="ListBullet"/>
      </w:pPr>
      <w:r>
        <w:t>Facilities and services companies</w:t>
      </w:r>
    </w:p>
    <w:p>
      <w:pPr>
        <w:pStyle w:val="ListBullet"/>
      </w:pPr>
      <w:r>
        <w:t>Employers requiring compliant managed accommodation</w:t>
      </w:r>
    </w:p>
    <w:p>
      <w:pPr>
        <w:pStyle w:val="ListBullet"/>
      </w:pPr>
      <w:r>
        <w:t>Creditworthy corporates able to sign take-or-pay commitments</w:t>
      </w:r>
    </w:p>
    <w:p>
      <w:pPr>
        <w:pStyle w:val="Heading2"/>
      </w:pPr>
      <w:r>
        <w:t>Products or operating segments</w:t>
      </w:r>
    </w:p>
    <w:p>
      <w:pPr>
        <w:pStyle w:val="ListBullet"/>
      </w:pPr>
      <w:r>
        <w:t>Master-lease operations</w:t>
      </w:r>
    </w:p>
    <w:p>
      <w:pPr>
        <w:pStyle w:val="ListBullet"/>
      </w:pPr>
      <w:r>
        <w:t>Acquisition of compliant stock</w:t>
      </w:r>
    </w:p>
    <w:p>
      <w:pPr>
        <w:pStyle w:val="ListBullet"/>
      </w:pPr>
      <w:r>
        <w:t>Purpose-built development</w:t>
      </w:r>
    </w:p>
    <w:p>
      <w:pPr>
        <w:pStyle w:val="ListBullet"/>
      </w:pPr>
      <w:r>
        <w:t>Managed accommodation services</w:t>
      </w:r>
    </w:p>
    <w:p>
      <w:pPr>
        <w:pStyle w:val="Heading2"/>
      </w:pPr>
      <w:r>
        <w:t>Revenue model</w:t>
      </w:r>
    </w:p>
    <w:p>
      <w:pPr>
        <w:pStyle w:val="ListBullet"/>
      </w:pPr>
      <w:r>
        <w:t>Contracted bed charges</w:t>
      </w:r>
    </w:p>
    <w:p>
      <w:pPr>
        <w:pStyle w:val="ListBullet"/>
      </w:pPr>
      <w:r>
        <w:t>Employer service packages</w:t>
      </w:r>
    </w:p>
    <w:p>
      <w:pPr>
        <w:pStyle w:val="ListBullet"/>
      </w:pPr>
      <w:r>
        <w:t>Ancillary services where permitted and contracted</w:t>
      </w:r>
    </w:p>
    <w:p>
      <w:pPr>
        <w:pStyle w:val="Heading2"/>
      </w:pPr>
      <w:r>
        <w:t>Preferred entry model</w:t>
      </w:r>
    </w:p>
    <w:p>
      <w:pPr>
        <w:keepNext w:val="0"/>
        <w:spacing w:after="120"/>
      </w:pPr>
      <w:r>
        <w:rPr>
          <w:rFonts w:ascii="Arial" w:hAnsi="Arial"/>
          <w:b w:val="0"/>
          <w:i w:val="0"/>
          <w:color w:val="111111"/>
          <w:sz w:val="20"/>
        </w:rPr>
        <w:t>Validate operations through a contracted master-lease pilot, then acquire properly priced compliant stock; develop only with a pre-lease.</w:t>
      </w:r>
    </w:p>
    <w:p>
      <w:pPr>
        <w:pStyle w:val="Heading2"/>
      </w:pPr>
      <w:r>
        <w:t>Location logic</w:t>
      </w:r>
    </w:p>
    <w:p>
      <w:pPr>
        <w:keepNext w:val="0"/>
        <w:spacing w:after="120"/>
      </w:pPr>
      <w:r>
        <w:rPr>
          <w:rFonts w:ascii="Arial" w:hAnsi="Arial"/>
          <w:b w:val="0"/>
          <w:i w:val="0"/>
          <w:color w:val="111111"/>
          <w:sz w:val="20"/>
        </w:rPr>
        <w:t>Sites must be selected against employer catchment, transport time, compliance, bed density and total delivered cost.</w:t>
      </w:r>
    </w:p>
    <w:p>
      <w:pPr>
        <w:pStyle w:val="Heading1"/>
      </w:pPr>
      <w:r>
        <w:t>Market and demand</w:t>
      </w:r>
    </w:p>
    <w:p>
      <w:pPr>
        <w:keepNext w:val="0"/>
        <w:spacing w:after="80"/>
      </w:pPr>
      <w:r>
        <w:rPr>
          <w:rFonts w:ascii="Arial" w:hAnsi="Arial"/>
          <w:b w:val="0"/>
          <w:i w:val="0"/>
          <w:color w:val="111111"/>
          <w:sz w:val="19"/>
        </w:rPr>
        <w:t>Approximately 1.9M registered beneficiaries form a physical accommodation-demand reference.</w:t>
      </w:r>
    </w:p>
    <w:p>
      <w:pPr>
        <w:keepNext w:val="0"/>
        <w:spacing w:after="80"/>
      </w:pPr>
      <w:r>
        <w:rPr>
          <w:rFonts w:ascii="Arial" w:hAnsi="Arial"/>
          <w:b w:val="0"/>
          <w:i w:val="0"/>
          <w:color w:val="111111"/>
          <w:sz w:val="19"/>
        </w:rPr>
        <w:t>Sdeira reported 135,898 leased beds in Q2 2026.</w:t>
      </w:r>
    </w:p>
    <w:p>
      <w:pPr>
        <w:keepNext w:val="0"/>
        <w:spacing w:after="80"/>
      </w:pPr>
      <w:r>
        <w:rPr>
          <w:rFonts w:ascii="Arial" w:hAnsi="Arial"/>
          <w:b w:val="0"/>
          <w:i w:val="0"/>
          <w:color w:val="111111"/>
          <w:sz w:val="19"/>
        </w:rPr>
        <w:t>Sdeira reported 98% occupancy in Q2 2026.</w:t>
      </w:r>
    </w:p>
    <w:p>
      <w:pPr>
        <w:pStyle w:val="Heading2"/>
      </w:pPr>
      <w:r>
        <w:t>Competition and positioning</w:t>
      </w:r>
    </w:p>
    <w:p>
      <w:pPr>
        <w:keepNext w:val="0"/>
        <w:spacing w:after="120"/>
      </w:pPr>
      <w:r>
        <w:rPr>
          <w:rFonts w:ascii="Arial" w:hAnsi="Arial"/>
          <w:b w:val="0"/>
          <w:i w:val="0"/>
          <w:color w:val="111111"/>
          <w:sz w:val="20"/>
        </w:rPr>
        <w:t>A complete live competitor, pricing and capacity schedule is not contained in the controlling register. Competitive positioning must therefore be validated against current operators, current assets and current customer quotations before commitment.</w:t>
      </w:r>
    </w:p>
    <w:p>
      <w:r>
        <w:br w:type="page"/>
      </w:r>
    </w:p>
    <w:p>
      <w:pPr>
        <w:pStyle w:val="Heading1"/>
      </w:pPr>
      <w:r>
        <w:t>Pricing, revenue, CAPEX and returns</w:t>
      </w:r>
    </w:p>
    <w:tbl>
      <w:tblPr>
        <w:tblStyle w:val="TableGrid"/>
        <w:tblW w:type="dxa" w:w="9640"/>
        <w:tblLayout w:type="fixed"/>
        <w:tblLook w:firstColumn="1" w:firstRow="1" w:lastColumn="0" w:lastRow="0" w:noHBand="0" w:noVBand="1" w:val="04A0"/>
        <w:jc w:val="left"/>
        <w:tblInd w:w="0" w:type="dxa"/>
      </w:tblPr>
      <w:tblGrid>
        <w:gridCol w:w="2300"/>
        <w:gridCol w:w="1450"/>
        <w:gridCol w:w="1100"/>
        <w:gridCol w:w="1450"/>
        <w:gridCol w:w="2300"/>
        <w:gridCol w:w="1040"/>
      </w:tblGrid>
      <w:tr>
        <w:trPr>
          <w:cantSplit/>
          <w:tblHeader w:val="true"/>
          <w:cantSplit/>
        </w:trPr>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4"/>
              </w:rPr>
              <w:t>METRIC</w:t>
            </w:r>
          </w:p>
        </w:tc>
        <w:tc>
          <w:tcPr>
            <w:tcW w:type="dxa" w:w="1450"/>
            <w:tcMar>
              <w:top w:w="90" w:type="dxa"/>
              <w:start w:w="120" w:type="dxa"/>
              <w:bottom w:w="90" w:type="dxa"/>
              <w:end w:w="120" w:type="dxa"/>
            </w:tcMar>
            <w:shd w:fill="111111"/>
            <w:vAlign w:val="center"/>
          </w:tcPr>
          <w:p>
            <w:pPr>
              <w:spacing w:after="0"/>
            </w:pPr>
            <w:r>
              <w:rPr>
                <w:rFonts w:ascii="Arial" w:hAnsi="Arial"/>
                <w:b/>
                <w:i w:val="0"/>
                <w:color w:val="FFFFFF"/>
                <w:sz w:val="14"/>
              </w:rPr>
              <w:t>VALUE</w:t>
            </w:r>
          </w:p>
        </w:tc>
        <w:tc>
          <w:tcPr>
            <w:tcW w:type="dxa" w:w="1100"/>
            <w:tcMar>
              <w:top w:w="90" w:type="dxa"/>
              <w:start w:w="120" w:type="dxa"/>
              <w:bottom w:w="90" w:type="dxa"/>
              <w:end w:w="120" w:type="dxa"/>
            </w:tcMar>
            <w:shd w:fill="111111"/>
            <w:vAlign w:val="center"/>
          </w:tcPr>
          <w:p>
            <w:pPr>
              <w:spacing w:after="0"/>
            </w:pPr>
            <w:r>
              <w:rPr>
                <w:rFonts w:ascii="Arial" w:hAnsi="Arial"/>
                <w:b/>
                <w:i w:val="0"/>
                <w:color w:val="FFFFFF"/>
                <w:sz w:val="14"/>
              </w:rPr>
              <w:t>UNIT</w:t>
            </w:r>
          </w:p>
        </w:tc>
        <w:tc>
          <w:tcPr>
            <w:tcW w:type="dxa" w:w="1450"/>
            <w:tcMar>
              <w:top w:w="90" w:type="dxa"/>
              <w:start w:w="120" w:type="dxa"/>
              <w:bottom w:w="90" w:type="dxa"/>
              <w:end w:w="120" w:type="dxa"/>
            </w:tcMar>
            <w:shd w:fill="111111"/>
            <w:vAlign w:val="center"/>
          </w:tcPr>
          <w:p>
            <w:pPr>
              <w:spacing w:after="0"/>
            </w:pPr>
            <w:r>
              <w:rPr>
                <w:rFonts w:ascii="Arial" w:hAnsi="Arial"/>
                <w:b/>
                <w:i w:val="0"/>
                <w:color w:val="FFFFFF"/>
                <w:sz w:val="14"/>
              </w:rPr>
              <w:t>PERIOD</w:t>
            </w:r>
          </w:p>
        </w:tc>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4"/>
              </w:rPr>
              <w:t>EVIDENCE</w:t>
            </w:r>
          </w:p>
        </w:tc>
        <w:tc>
          <w:tcPr>
            <w:tcW w:type="dxa" w:w="1040"/>
            <w:tcMar>
              <w:top w:w="90" w:type="dxa"/>
              <w:start w:w="120" w:type="dxa"/>
              <w:bottom w:w="90" w:type="dxa"/>
              <w:end w:w="120" w:type="dxa"/>
            </w:tcMar>
            <w:shd w:fill="111111"/>
            <w:vAlign w:val="center"/>
          </w:tcPr>
          <w:p>
            <w:pPr>
              <w:spacing w:after="0"/>
            </w:pPr>
            <w:r>
              <w:rPr>
                <w:rFonts w:ascii="Arial" w:hAnsi="Arial"/>
                <w:b/>
                <w:i w:val="0"/>
                <w:color w:val="FFFFFF"/>
                <w:sz w:val="14"/>
              </w:rPr>
              <w:t>SOURCE</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Initial capital</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AED 5.76M</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AED</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S10</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Minimum signed pre-commitment</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75%</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 of beds</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Before head lease</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S10</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Operating break-even occupancy</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67.3%</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S10</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Five-year IRR - downside/base/upside</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-15.8% / 26.6% / 55.4%</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Five-year model</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S10</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All-in capital</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AED 57.65M</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AED</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S10</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Year-one revenue</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AED 9.072M</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AED/year</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Base case</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S10</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Five-year unlevered IRR - downside/base/upside</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3.9% / 13.7% / 21.6%</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Five-year model</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S10</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All-in capital</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AED 56.0M</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AED</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S10</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Five-year IRR - downside/base/upside</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approximately 0% / 14.5% / 23.6%</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Five-year model</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S10</w:t>
            </w:r>
          </w:p>
        </w:tc>
      </w:tr>
    </w:tbl>
    <w:p>
      <w:pPr>
        <w:spacing w:after="40"/>
      </w:pPr>
    </w:p>
    <w:p>
      <w:pPr>
        <w:keepNext w:val="0"/>
        <w:spacing w:after="120"/>
      </w:pPr>
      <w:r>
        <w:rPr>
          <w:rFonts w:ascii="Arial" w:hAnsi="Arial"/>
          <w:b w:val="0"/>
          <w:i/>
          <w:color w:val="555555"/>
          <w:sz w:val="17"/>
        </w:rPr>
        <w:t>All model outputs remain conditional on the underlying transaction, quotation or operating assumptions. No modelled return is a guaranteed result.</w:t>
      </w:r>
    </w:p>
    <w:p>
      <w:pPr>
        <w:pStyle w:val="Heading2"/>
      </w:pPr>
      <w:r>
        <w:t>Revenue drivers</w:t>
      </w:r>
    </w:p>
    <w:p>
      <w:pPr>
        <w:pStyle w:val="ListBullet"/>
      </w:pPr>
      <w:r>
        <w:t>Sdeira reported 135,898 leased beds in Q2 2026.</w:t>
      </w:r>
    </w:p>
    <w:p>
      <w:pPr>
        <w:pStyle w:val="ListBullet"/>
      </w:pPr>
      <w:r>
        <w:t>Sdeira reported 98% occupancy in Q2 2026.</w:t>
      </w:r>
    </w:p>
    <w:p>
      <w:pPr>
        <w:pStyle w:val="ListBullet"/>
      </w:pPr>
      <w:r>
        <w:t>Modelled master-lease operating break-even: approximately 67.3% occupancy.</w:t>
      </w:r>
    </w:p>
    <w:p>
      <w:pPr>
        <w:pStyle w:val="ListBullet"/>
      </w:pPr>
      <w:r>
        <w:t>Base 1,200-bed acquisition model revenue: AED9.072M in Year 1.</w:t>
      </w:r>
    </w:p>
    <w:p>
      <w:pPr>
        <w:pStyle w:val="Heading2"/>
      </w:pPr>
      <w:r>
        <w:t>Cost and return limitations</w:t>
      </w:r>
    </w:p>
    <w:p>
      <w:pPr>
        <w:pStyle w:val="ListBullet"/>
      </w:pPr>
      <w:r>
        <w:t>Assumes required wholesale head rent and recoverable deposit/working capital.</w:t>
      </w:r>
    </w:p>
    <w:p>
      <w:pPr>
        <w:pStyle w:val="ListBullet"/>
      </w:pPr>
      <w:r>
        <w:t>Modelled committee condition.</w:t>
      </w:r>
    </w:p>
    <w:p>
      <w:pPr>
        <w:pStyle w:val="ListBullet"/>
      </w:pPr>
      <w:r>
        <w:t>Anchored to an asking listing, not a completed transaction.</w:t>
      </w:r>
    </w:p>
    <w:p>
      <w:pPr>
        <w:pStyle w:val="ListBullet"/>
      </w:pPr>
      <w:r>
        <w:t>Contractor and plot quotations required.</w:t>
      </w:r>
    </w:p>
    <w:p>
      <w:r>
        <w:br w:type="page"/>
      </w:r>
    </w:p>
    <w:p>
      <w:pPr>
        <w:pStyle w:val="Heading1"/>
      </w:pPr>
      <w:r>
        <w:t>Operating requirements</w:t>
      </w:r>
    </w:p>
    <w:p>
      <w:pPr>
        <w:pStyle w:val="ListBullet"/>
      </w:pPr>
      <w:r>
        <w:t>Employer credit underwriting</w:t>
      </w:r>
    </w:p>
    <w:p>
      <w:pPr>
        <w:pStyle w:val="ListBullet"/>
      </w:pPr>
      <w:r>
        <w:t>Bed allocation and occupancy control</w:t>
      </w:r>
    </w:p>
    <w:p>
      <w:pPr>
        <w:pStyle w:val="ListBullet"/>
      </w:pPr>
      <w:r>
        <w:t>Compliance, transport, maintenance and security</w:t>
      </w:r>
    </w:p>
    <w:p>
      <w:pPr>
        <w:pStyle w:val="ListBullet"/>
      </w:pPr>
      <w:r>
        <w:t>Customer-concentration monitoring</w:t>
      </w:r>
    </w:p>
    <w:p>
      <w:pPr>
        <w:pStyle w:val="Heading1"/>
      </w:pPr>
      <w:r>
        <w:t>Regulation and licensing</w:t>
      </w:r>
    </w:p>
    <w:p>
      <w:pPr>
        <w:keepNext w:val="0"/>
        <w:spacing w:after="120"/>
      </w:pPr>
      <w:r>
        <w:rPr>
          <w:rFonts w:ascii="Arial" w:hAnsi="Arial"/>
          <w:b w:val="0"/>
          <w:i w:val="0"/>
          <w:color w:val="111111"/>
          <w:sz w:val="20"/>
        </w:rPr>
        <w:t>Accommodation density, health, safety, welfare and operating requirements must be confirmed against current UAE and local-authority rules for each site.</w:t>
      </w:r>
    </w:p>
    <w:p>
      <w:pPr>
        <w:pStyle w:val="Heading1"/>
      </w:pPr>
      <w:r>
        <w:t>Risk register</w:t>
      </w:r>
    </w:p>
    <w:tbl>
      <w:tblPr>
        <w:tblStyle w:val="TableGrid"/>
        <w:tblW w:type="dxa" w:w="9640"/>
        <w:tblLayout w:type="fixed"/>
        <w:tblLook w:firstColumn="1" w:firstRow="1" w:lastColumn="0" w:lastRow="0" w:noHBand="0" w:noVBand="1" w:val="04A0"/>
        <w:jc w:val="left"/>
        <w:tblInd w:w="0" w:type="dxa"/>
      </w:tblPr>
      <w:tblGrid>
        <w:gridCol w:w="700"/>
        <w:gridCol w:w="3600"/>
        <w:gridCol w:w="1700"/>
        <w:gridCol w:w="3640"/>
      </w:tblGrid>
      <w:tr>
        <w:trPr>
          <w:cantSplit/>
          <w:tblHeader w:val="true"/>
          <w:cantSplit/>
        </w:trPr>
        <w:tc>
          <w:tcPr>
            <w:tcW w:type="dxa" w:w="700"/>
            <w:tcMar>
              <w:top w:w="90" w:type="dxa"/>
              <w:start w:w="120" w:type="dxa"/>
              <w:bottom w:w="90" w:type="dxa"/>
              <w:end w:w="120" w:type="dxa"/>
            </w:tcMar>
            <w:shd w:fill="111111"/>
            <w:vAlign w:val="center"/>
          </w:tcPr>
          <w:p>
            <w:pPr>
              <w:spacing w:after="0"/>
            </w:pPr>
            <w:r>
              <w:rPr>
                <w:rFonts w:ascii="Arial" w:hAnsi="Arial"/>
                <w:b/>
                <w:i w:val="0"/>
                <w:color w:val="FFFFFF"/>
                <w:sz w:val="16"/>
              </w:rPr>
              <w:t>ID</w:t>
            </w:r>
          </w:p>
        </w:tc>
        <w:tc>
          <w:tcPr>
            <w:tcW w:type="dxa" w:w="3600"/>
            <w:tcMar>
              <w:top w:w="90" w:type="dxa"/>
              <w:start w:w="120" w:type="dxa"/>
              <w:bottom w:w="90" w:type="dxa"/>
              <w:end w:w="120" w:type="dxa"/>
            </w:tcMar>
            <w:shd w:fill="111111"/>
            <w:vAlign w:val="center"/>
          </w:tcPr>
          <w:p>
            <w:pPr>
              <w:spacing w:after="0"/>
            </w:pPr>
            <w:r>
              <w:rPr>
                <w:rFonts w:ascii="Arial" w:hAnsi="Arial"/>
                <w:b/>
                <w:i w:val="0"/>
                <w:color w:val="FFFFFF"/>
                <w:sz w:val="16"/>
              </w:rPr>
              <w:t>RISK</w:t>
            </w:r>
          </w:p>
        </w:tc>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6"/>
              </w:rPr>
              <w:t>CURRENT LEVEL</w:t>
            </w:r>
          </w:p>
        </w:tc>
        <w:tc>
          <w:tcPr>
            <w:tcW w:type="dxa" w:w="3640"/>
            <w:tcMar>
              <w:top w:w="90" w:type="dxa"/>
              <w:start w:w="120" w:type="dxa"/>
              <w:bottom w:w="90" w:type="dxa"/>
              <w:end w:w="120" w:type="dxa"/>
            </w:tcMar>
            <w:shd w:fill="111111"/>
            <w:vAlign w:val="center"/>
          </w:tcPr>
          <w:p>
            <w:pPr>
              <w:spacing w:after="0"/>
            </w:pPr>
            <w:r>
              <w:rPr>
                <w:rFonts w:ascii="Arial" w:hAnsi="Arial"/>
                <w:b/>
                <w:i w:val="0"/>
                <w:color w:val="FFFFFF"/>
                <w:sz w:val="16"/>
              </w:rPr>
              <w:t>CONTROL</w:t>
            </w:r>
          </w:p>
        </w:tc>
      </w:tr>
      <w:tr>
        <w:trPr>
          <w:cantSplit/>
          <w:cantSplit/>
        </w:trPr>
        <w:tc>
          <w:tcPr>
            <w:tcW w:type="dxa" w:w="700"/>
            <w:shd w:fill="F3F3F3"/>
            <w:vAlign w:val="top"/>
            <w:tcMar>
              <w:top w:w="90" w:type="dxa"/>
              <w:start w:w="120" w:type="dxa"/>
              <w:bottom w:w="90" w:type="dxa"/>
              <w:end w:w="120" w:type="dxa"/>
            </w:tcMar>
          </w:tcPr>
          <w:p>
            <w:pPr>
              <w:spacing w:after="0"/>
            </w:pPr>
            <w:r>
              <w:rPr>
                <w:rFonts w:ascii="Arial" w:hAnsi="Arial"/>
                <w:b/>
                <w:i w:val="0"/>
                <w:color w:val="111111"/>
                <w:sz w:val="16"/>
              </w:rPr>
              <w:t>R01</w:t>
            </w:r>
          </w:p>
        </w:tc>
        <w:tc>
          <w:tcPr>
            <w:tcW w:type="dxa" w:w="3600"/>
            <w:shd w:fill="F3F3F3"/>
            <w:vAlign w:val="top"/>
            <w:tcMar>
              <w:top w:w="90" w:type="dxa"/>
              <w:start w:w="120" w:type="dxa"/>
              <w:bottom w:w="90" w:type="dxa"/>
              <w:end w:w="120" w:type="dxa"/>
            </w:tcMar>
          </w:tcPr>
          <w:p>
            <w:pPr>
              <w:spacing w:after="0"/>
            </w:pPr>
            <w:r>
              <w:rPr>
                <w:rFonts w:ascii="Arial" w:hAnsi="Arial"/>
                <w:b w:val="0"/>
                <w:i w:val="0"/>
                <w:color w:val="111111"/>
                <w:sz w:val="16"/>
              </w:rPr>
              <w:t>Entering a head lease without sufficient take-or-pay demand</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3F3F3"/>
            <w:vAlign w:val="top"/>
            <w:tcMar>
              <w:top w:w="90" w:type="dxa"/>
              <w:start w:w="120" w:type="dxa"/>
              <w:bottom w:w="90" w:type="dxa"/>
              <w:end w:w="120" w:type="dxa"/>
            </w:tcMar>
          </w:tcPr>
          <w:p>
            <w:pPr>
              <w:spacing w:after="0"/>
            </w:pPr>
            <w:r>
              <w:rPr>
                <w:rFonts w:ascii="Arial" w:hAnsi="Arial"/>
                <w:b w:val="0"/>
                <w:i w:val="0"/>
                <w:color w:val="111111"/>
                <w:sz w:val="16"/>
              </w:rPr>
              <w:t>Hold commitment until the decision gate is evidenced.</w:t>
            </w:r>
          </w:p>
        </w:tc>
      </w:tr>
      <w:tr>
        <w:trPr>
          <w:cantSplit/>
          <w:cantSplit/>
        </w:trPr>
        <w:tc>
          <w:tcPr>
            <w:tcW w:type="dxa" w:w="700"/>
            <w:shd w:fill="FFFFFF"/>
            <w:vAlign w:val="top"/>
            <w:tcMar>
              <w:top w:w="90" w:type="dxa"/>
              <w:start w:w="120" w:type="dxa"/>
              <w:bottom w:w="90" w:type="dxa"/>
              <w:end w:w="120" w:type="dxa"/>
            </w:tcMar>
          </w:tcPr>
          <w:p>
            <w:pPr>
              <w:spacing w:after="0"/>
            </w:pPr>
            <w:r>
              <w:rPr>
                <w:rFonts w:ascii="Arial" w:hAnsi="Arial"/>
                <w:b/>
                <w:i w:val="0"/>
                <w:color w:val="111111"/>
                <w:sz w:val="16"/>
              </w:rPr>
              <w:t>R02</w:t>
            </w:r>
          </w:p>
        </w:tc>
        <w:tc>
          <w:tcPr>
            <w:tcW w:type="dxa" w:w="3600"/>
            <w:shd w:fill="FFFFFF"/>
            <w:vAlign w:val="top"/>
            <w:tcMar>
              <w:top w:w="90" w:type="dxa"/>
              <w:start w:w="120" w:type="dxa"/>
              <w:bottom w:w="90" w:type="dxa"/>
              <w:end w:w="120" w:type="dxa"/>
            </w:tcMar>
          </w:tcPr>
          <w:p>
            <w:pPr>
              <w:spacing w:after="0"/>
            </w:pPr>
            <w:r>
              <w:rPr>
                <w:rFonts w:ascii="Arial" w:hAnsi="Arial"/>
                <w:b w:val="0"/>
                <w:i w:val="0"/>
                <w:color w:val="111111"/>
                <w:sz w:val="16"/>
              </w:rPr>
              <w:t>Employer default or concentration</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FFFFF"/>
            <w:vAlign w:val="top"/>
            <w:tcMar>
              <w:top w:w="90" w:type="dxa"/>
              <w:start w:w="120" w:type="dxa"/>
              <w:bottom w:w="90" w:type="dxa"/>
              <w:end w:w="120" w:type="dxa"/>
            </w:tcMar>
          </w:tcPr>
          <w:p>
            <w:pPr>
              <w:spacing w:after="0"/>
            </w:pPr>
            <w:r>
              <w:rPr>
                <w:rFonts w:ascii="Arial" w:hAnsi="Arial"/>
                <w:b w:val="0"/>
                <w:i w:val="0"/>
                <w:color w:val="111111"/>
                <w:sz w:val="16"/>
              </w:rPr>
              <w:t>Use separate models and approval thresholds.</w:t>
            </w:r>
          </w:p>
        </w:tc>
      </w:tr>
      <w:tr>
        <w:trPr>
          <w:cantSplit/>
          <w:cantSplit/>
        </w:trPr>
        <w:tc>
          <w:tcPr>
            <w:tcW w:type="dxa" w:w="700"/>
            <w:shd w:fill="F3F3F3"/>
            <w:vAlign w:val="top"/>
            <w:tcMar>
              <w:top w:w="90" w:type="dxa"/>
              <w:start w:w="120" w:type="dxa"/>
              <w:bottom w:w="90" w:type="dxa"/>
              <w:end w:w="120" w:type="dxa"/>
            </w:tcMar>
          </w:tcPr>
          <w:p>
            <w:pPr>
              <w:spacing w:after="0"/>
            </w:pPr>
            <w:r>
              <w:rPr>
                <w:rFonts w:ascii="Arial" w:hAnsi="Arial"/>
                <w:b/>
                <w:i w:val="0"/>
                <w:color w:val="111111"/>
                <w:sz w:val="16"/>
              </w:rPr>
              <w:t>R03</w:t>
            </w:r>
          </w:p>
        </w:tc>
        <w:tc>
          <w:tcPr>
            <w:tcW w:type="dxa" w:w="3600"/>
            <w:shd w:fill="F3F3F3"/>
            <w:vAlign w:val="top"/>
            <w:tcMar>
              <w:top w:w="90" w:type="dxa"/>
              <w:start w:w="120" w:type="dxa"/>
              <w:bottom w:w="90" w:type="dxa"/>
              <w:end w:w="120" w:type="dxa"/>
            </w:tcMar>
          </w:tcPr>
          <w:p>
            <w:pPr>
              <w:spacing w:after="0"/>
            </w:pPr>
            <w:r>
              <w:rPr>
                <w:rFonts w:ascii="Arial" w:hAnsi="Arial"/>
                <w:b w:val="0"/>
                <w:i w:val="0"/>
                <w:color w:val="111111"/>
                <w:sz w:val="16"/>
              </w:rPr>
              <w:t>Compliance failure</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3F3F3"/>
            <w:vAlign w:val="top"/>
            <w:tcMar>
              <w:top w:w="90" w:type="dxa"/>
              <w:start w:w="120" w:type="dxa"/>
              <w:bottom w:w="90" w:type="dxa"/>
              <w:end w:w="120" w:type="dxa"/>
            </w:tcMar>
          </w:tcPr>
          <w:p>
            <w:pPr>
              <w:spacing w:after="0"/>
            </w:pPr>
            <w:r>
              <w:rPr>
                <w:rFonts w:ascii="Arial" w:hAnsi="Arial"/>
                <w:b w:val="0"/>
                <w:i w:val="0"/>
                <w:color w:val="111111"/>
                <w:sz w:val="16"/>
              </w:rPr>
              <w:t>Obtain written quotations, contracts and technical review.</w:t>
            </w:r>
          </w:p>
        </w:tc>
      </w:tr>
      <w:tr>
        <w:trPr>
          <w:cantSplit/>
          <w:cantSplit/>
        </w:trPr>
        <w:tc>
          <w:tcPr>
            <w:tcW w:type="dxa" w:w="700"/>
            <w:shd w:fill="FFFFFF"/>
            <w:vAlign w:val="top"/>
            <w:tcMar>
              <w:top w:w="90" w:type="dxa"/>
              <w:start w:w="120" w:type="dxa"/>
              <w:bottom w:w="90" w:type="dxa"/>
              <w:end w:w="120" w:type="dxa"/>
            </w:tcMar>
          </w:tcPr>
          <w:p>
            <w:pPr>
              <w:spacing w:after="0"/>
            </w:pPr>
            <w:r>
              <w:rPr>
                <w:rFonts w:ascii="Arial" w:hAnsi="Arial"/>
                <w:b/>
                <w:i w:val="0"/>
                <w:color w:val="111111"/>
                <w:sz w:val="16"/>
              </w:rPr>
              <w:t>R04</w:t>
            </w:r>
          </w:p>
        </w:tc>
        <w:tc>
          <w:tcPr>
            <w:tcW w:type="dxa" w:w="3600"/>
            <w:shd w:fill="FFFFFF"/>
            <w:vAlign w:val="top"/>
            <w:tcMar>
              <w:top w:w="90" w:type="dxa"/>
              <w:start w:w="120" w:type="dxa"/>
              <w:bottom w:w="90" w:type="dxa"/>
              <w:end w:w="120" w:type="dxa"/>
            </w:tcMar>
          </w:tcPr>
          <w:p>
            <w:pPr>
              <w:spacing w:after="0"/>
            </w:pPr>
            <w:r>
              <w:rPr>
                <w:rFonts w:ascii="Arial" w:hAnsi="Arial"/>
                <w:b w:val="0"/>
                <w:i w:val="0"/>
                <w:color w:val="111111"/>
                <w:sz w:val="16"/>
              </w:rPr>
              <w:t>Occupancy and operating-cost volatility</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FFFFF"/>
            <w:vAlign w:val="top"/>
            <w:tcMar>
              <w:top w:w="90" w:type="dxa"/>
              <w:start w:w="120" w:type="dxa"/>
              <w:bottom w:w="90" w:type="dxa"/>
              <w:end w:w="120" w:type="dxa"/>
            </w:tcMar>
          </w:tcPr>
          <w:p>
            <w:pPr>
              <w:spacing w:after="0"/>
            </w:pPr>
            <w:r>
              <w:rPr>
                <w:rFonts w:ascii="Arial" w:hAnsi="Arial"/>
                <w:b w:val="0"/>
                <w:i w:val="0"/>
                <w:color w:val="111111"/>
                <w:sz w:val="16"/>
              </w:rPr>
              <w:t>Run legal, operating and counterparty diligence before scale.</w:t>
            </w:r>
          </w:p>
        </w:tc>
      </w:tr>
    </w:tbl>
    <w:p>
      <w:pPr>
        <w:spacing w:after="40"/>
      </w:pPr>
    </w:p>
    <w:p>
      <w:pPr>
        <w:pStyle w:val="Heading1"/>
      </w:pPr>
      <w:r>
        <w:t>Recommendation</w:t>
      </w:r>
    </w:p>
    <w:p>
      <w:pPr>
        <w:keepNext w:val="0"/>
        <w:spacing w:after="160"/>
      </w:pPr>
      <w:r>
        <w:rPr>
          <w:rFonts w:ascii="Arial" w:hAnsi="Arial"/>
          <w:b/>
          <w:i w:val="0"/>
          <w:color w:val="111111"/>
          <w:sz w:val="32"/>
        </w:rPr>
        <w:t>CONDITIONAL GO - demand first</w:t>
      </w:r>
    </w:p>
    <w:p>
      <w:pPr>
        <w:keepNext w:val="0"/>
        <w:spacing w:after="120"/>
      </w:pPr>
      <w:r>
        <w:rPr>
          <w:rFonts w:ascii="Arial" w:hAnsi="Arial"/>
          <w:b w:val="0"/>
          <w:i w:val="0"/>
          <w:color w:val="111111"/>
          <w:sz w:val="20"/>
        </w:rPr>
        <w:t>Validate operations through a contracted master-lease pilot, then acquire properly priced compliant stock; develop only with a pre-lease.</w:t>
      </w:r>
    </w:p>
    <w:p>
      <w:pPr>
        <w:keepNext w:val="0"/>
        <w:spacing w:after="120"/>
      </w:pPr>
      <w:r>
        <w:rPr>
          <w:rFonts w:ascii="Arial" w:hAnsi="Arial"/>
          <w:b/>
          <w:i w:val="0"/>
          <w:color w:val="111111"/>
          <w:sz w:val="20"/>
        </w:rPr>
        <w:t>Condition before commitment: At least 75% signed take-or-pay commitment before a head lease; employer credit, compliance and customer concentration must pass diligence.</w:t>
      </w:r>
    </w:p>
    <w:p>
      <w:r>
        <w:br w:type="page"/>
      </w:r>
    </w:p>
    <w:p>
      <w:pPr>
        <w:pStyle w:val="Heading1"/>
      </w:pPr>
      <w:r>
        <w:t>Missing information and due diligence</w:t>
      </w:r>
    </w:p>
    <w:tbl>
      <w:tblPr>
        <w:tblStyle w:val="TableGrid"/>
        <w:tblW w:type="dxa" w:w="9640"/>
        <w:tblLayout w:type="fixed"/>
        <w:tblLook w:firstColumn="1" w:firstRow="1" w:lastColumn="0" w:lastRow="0" w:noHBand="0" w:noVBand="1" w:val="04A0"/>
        <w:jc w:val="left"/>
        <w:tblInd w:w="0" w:type="dxa"/>
      </w:tblPr>
      <w:tblGrid>
        <w:gridCol w:w="3400"/>
        <w:gridCol w:w="2200"/>
        <w:gridCol w:w="1700"/>
        <w:gridCol w:w="2340"/>
      </w:tblGrid>
      <w:tr>
        <w:trPr>
          <w:cantSplit/>
          <w:tblHeader w:val="true"/>
          <w:cantSplit/>
        </w:trPr>
        <w:tc>
          <w:tcPr>
            <w:tcW w:type="dxa" w:w="3400"/>
            <w:tcMar>
              <w:top w:w="90" w:type="dxa"/>
              <w:start w:w="120" w:type="dxa"/>
              <w:bottom w:w="90" w:type="dxa"/>
              <w:end w:w="120" w:type="dxa"/>
            </w:tcMar>
            <w:shd w:fill="111111"/>
            <w:vAlign w:val="center"/>
          </w:tcPr>
          <w:p>
            <w:pPr>
              <w:spacing w:after="0"/>
            </w:pPr>
            <w:r>
              <w:rPr>
                <w:rFonts w:ascii="Arial" w:hAnsi="Arial"/>
                <w:b/>
                <w:i w:val="0"/>
                <w:color w:val="FFFFFF"/>
                <w:sz w:val="15"/>
              </w:rPr>
              <w:t>DOCUMENT</w:t>
            </w:r>
          </w:p>
        </w:tc>
        <w:tc>
          <w:tcPr>
            <w:tcW w:type="dxa" w:w="2200"/>
            <w:tcMar>
              <w:top w:w="90" w:type="dxa"/>
              <w:start w:w="120" w:type="dxa"/>
              <w:bottom w:w="90" w:type="dxa"/>
              <w:end w:w="120" w:type="dxa"/>
            </w:tcMar>
            <w:shd w:fill="111111"/>
            <w:vAlign w:val="center"/>
          </w:tcPr>
          <w:p>
            <w:pPr>
              <w:spacing w:after="0"/>
            </w:pPr>
            <w:r>
              <w:rPr>
                <w:rFonts w:ascii="Arial" w:hAnsi="Arial"/>
                <w:b/>
                <w:i w:val="0"/>
                <w:color w:val="FFFFFF"/>
                <w:sz w:val="15"/>
              </w:rPr>
              <w:t>STATUS</w:t>
            </w:r>
          </w:p>
        </w:tc>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5"/>
              </w:rPr>
              <w:t>LAYER</w:t>
            </w:r>
          </w:p>
        </w:tc>
        <w:tc>
          <w:tcPr>
            <w:tcW w:type="dxa" w:w="2340"/>
            <w:tcMar>
              <w:top w:w="90" w:type="dxa"/>
              <w:start w:w="120" w:type="dxa"/>
              <w:bottom w:w="90" w:type="dxa"/>
              <w:end w:w="120" w:type="dxa"/>
            </w:tcMar>
            <w:shd w:fill="111111"/>
            <w:vAlign w:val="center"/>
          </w:tcPr>
          <w:p>
            <w:pPr>
              <w:spacing w:after="0"/>
            </w:pPr>
            <w:r>
              <w:rPr>
                <w:rFonts w:ascii="Arial" w:hAnsi="Arial"/>
                <w:b/>
                <w:i w:val="0"/>
                <w:color w:val="FFFFFF"/>
                <w:sz w:val="15"/>
              </w:rPr>
              <w:t>REQUIRED ACTION</w:t>
            </w:r>
          </w:p>
        </w:tc>
      </w:tr>
      <w:tr>
        <w:trPr>
          <w:cantSplit/>
          <w:cantSplit/>
        </w:trPr>
        <w:tc>
          <w:tcPr>
            <w:tcW w:type="dxa" w:w="3400"/>
            <w:shd w:fill="F3F3F3"/>
            <w:vAlign w:val="top"/>
            <w:tcMar>
              <w:top w:w="90" w:type="dxa"/>
              <w:start w:w="120" w:type="dxa"/>
              <w:bottom w:w="90" w:type="dxa"/>
              <w:end w:w="120" w:type="dxa"/>
            </w:tcMar>
          </w:tcPr>
          <w:p>
            <w:pPr>
              <w:spacing w:after="0"/>
            </w:pPr>
            <w:r>
              <w:rPr>
                <w:rFonts w:ascii="Arial" w:hAnsi="Arial"/>
                <w:b/>
                <w:i w:val="0"/>
                <w:color w:val="111111"/>
                <w:sz w:val="15"/>
              </w:rPr>
              <w:t>Standalone Deep Research</w:t>
            </w:r>
          </w:p>
        </w:tc>
        <w:tc>
          <w:tcPr>
            <w:tcW w:type="dxa" w:w="2200"/>
            <w:shd w:fill="F3F3F3"/>
            <w:vAlign w:val="top"/>
            <w:tcMar>
              <w:top w:w="90" w:type="dxa"/>
              <w:start w:w="120" w:type="dxa"/>
              <w:bottom w:w="90" w:type="dxa"/>
              <w:end w:w="120" w:type="dxa"/>
            </w:tcMar>
          </w:tcPr>
          <w:p>
            <w:pPr>
              <w:spacing w:after="0"/>
            </w:pPr>
            <w:r>
              <w:rPr>
                <w:rFonts w:ascii="Arial" w:hAnsi="Arial"/>
                <w:b w:val="0"/>
                <w:i w:val="0"/>
                <w:color w:val="111111"/>
                <w:sz w:val="15"/>
              </w:rPr>
              <w:t>Research output available</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5"/>
              </w:rPr>
              <w:t>Phase 2</w:t>
            </w:r>
          </w:p>
        </w:tc>
        <w:tc>
          <w:tcPr>
            <w:tcW w:type="dxa" w:w="2340"/>
            <w:shd w:fill="F3F3F3"/>
            <w:vAlign w:val="top"/>
            <w:tcMar>
              <w:top w:w="90" w:type="dxa"/>
              <w:start w:w="120" w:type="dxa"/>
              <w:bottom w:w="90" w:type="dxa"/>
              <w:end w:w="120" w:type="dxa"/>
            </w:tcMar>
          </w:tcPr>
          <w:p>
            <w:pPr>
              <w:spacing w:after="0"/>
            </w:pPr>
            <w:r>
              <w:rPr>
                <w:rFonts w:ascii="Arial" w:hAnsi="Arial"/>
                <w:b w:val="0"/>
                <w:i w:val="0"/>
                <w:color w:val="111111"/>
                <w:sz w:val="15"/>
              </w:rPr>
              <w:t>Create formal DOCX/PDF</w:t>
            </w:r>
          </w:p>
        </w:tc>
      </w:tr>
      <w:tr>
        <w:trPr>
          <w:cantSplit/>
          <w:cantSplit/>
        </w:trPr>
        <w:tc>
          <w:tcPr>
            <w:tcW w:type="dxa" w:w="3400"/>
            <w:shd w:fill="FFFFFF"/>
            <w:vAlign w:val="top"/>
            <w:tcMar>
              <w:top w:w="90" w:type="dxa"/>
              <w:start w:w="120" w:type="dxa"/>
              <w:bottom w:w="90" w:type="dxa"/>
              <w:end w:w="120" w:type="dxa"/>
            </w:tcMar>
          </w:tcPr>
          <w:p>
            <w:pPr>
              <w:spacing w:after="0"/>
            </w:pPr>
            <w:r>
              <w:rPr>
                <w:rFonts w:ascii="Arial" w:hAnsi="Arial"/>
                <w:b/>
                <w:i w:val="0"/>
                <w:color w:val="111111"/>
                <w:sz w:val="15"/>
              </w:rPr>
              <w:t>Corporate Demand and Site Pack</w:t>
            </w:r>
          </w:p>
        </w:tc>
        <w:tc>
          <w:tcPr>
            <w:tcW w:type="dxa" w:w="2200"/>
            <w:shd w:fill="FFFFFF"/>
            <w:vAlign w:val="top"/>
            <w:tcMar>
              <w:top w:w="90" w:type="dxa"/>
              <w:start w:w="120" w:type="dxa"/>
              <w:bottom w:w="90" w:type="dxa"/>
              <w:end w:w="120" w:type="dxa"/>
            </w:tcMar>
          </w:tcPr>
          <w:p>
            <w:pPr>
              <w:spacing w:after="0"/>
            </w:pPr>
            <w:r>
              <w:rPr>
                <w:rFonts w:ascii="Arial" w:hAnsi="Arial"/>
                <w:b w:val="0"/>
                <w:i w:val="0"/>
                <w:color w:val="111111"/>
                <w:sz w:val="15"/>
              </w:rPr>
              <w:t>Requires LOIs and site evidence</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5"/>
              </w:rPr>
              <w:t>Commercial evidence</w:t>
            </w:r>
          </w:p>
        </w:tc>
        <w:tc>
          <w:tcPr>
            <w:tcW w:type="dxa" w:w="2340"/>
            <w:shd w:fill="FFFFFF"/>
            <w:vAlign w:val="top"/>
            <w:tcMar>
              <w:top w:w="90" w:type="dxa"/>
              <w:start w:w="120" w:type="dxa"/>
              <w:bottom w:w="90" w:type="dxa"/>
              <w:end w:w="120" w:type="dxa"/>
            </w:tcMar>
          </w:tcPr>
          <w:p>
            <w:pPr>
              <w:spacing w:after="0"/>
            </w:pPr>
            <w:r>
              <w:rPr>
                <w:rFonts w:ascii="Arial" w:hAnsi="Arial"/>
                <w:b w:val="0"/>
                <w:i w:val="0"/>
                <w:color w:val="111111"/>
                <w:sz w:val="15"/>
              </w:rPr>
              <w:t>Obtain</w:t>
            </w:r>
          </w:p>
        </w:tc>
      </w:tr>
    </w:tbl>
    <w:p>
      <w:pPr>
        <w:spacing w:after="40"/>
      </w:pPr>
    </w:p>
    <w:p>
      <w:pPr>
        <w:keepNext w:val="0"/>
        <w:spacing w:after="120"/>
      </w:pPr>
      <w:r>
        <w:rPr>
          <w:rFonts w:ascii="Arial" w:hAnsi="Arial"/>
          <w:b w:val="0"/>
          <w:i w:val="0"/>
          <w:color w:val="555555"/>
          <w:sz w:val="17"/>
        </w:rPr>
        <w:t>Commercial evidence such as live quotations, LOIs, site models, licences and legal confirmations must be dated and tied to the actual transaction or operating entity.</w:t>
      </w:r>
    </w:p>
    <w:p>
      <w:pPr>
        <w:pStyle w:val="Heading1"/>
      </w:pPr>
      <w:r>
        <w:t>Conflicting or updated information</w:t>
      </w:r>
    </w:p>
    <w:tbl>
      <w:tblPr>
        <w:tblStyle w:val="TableGrid"/>
        <w:tblW w:type="dxa" w:w="9640"/>
        <w:tblLayout w:type="fixed"/>
        <w:tblLook w:firstColumn="1" w:firstRow="1" w:lastColumn="0" w:lastRow="0" w:noHBand="0" w:noVBand="1" w:val="04A0"/>
        <w:jc w:val="left"/>
        <w:tblInd w:w="0" w:type="dxa"/>
      </w:tblPr>
      <w:tblGrid>
        <w:gridCol w:w="1700"/>
        <w:gridCol w:w="2600"/>
        <w:gridCol w:w="2500"/>
        <w:gridCol w:w="2840"/>
      </w:tblGrid>
      <w:tr>
        <w:trPr>
          <w:cantSplit/>
          <w:tblHeader w:val="true"/>
          <w:cantSplit/>
        </w:trPr>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4"/>
              </w:rPr>
              <w:t>TOPIC</w:t>
            </w:r>
          </w:p>
        </w:tc>
        <w:tc>
          <w:tcPr>
            <w:tcW w:type="dxa" w:w="2600"/>
            <w:tcMar>
              <w:top w:w="90" w:type="dxa"/>
              <w:start w:w="120" w:type="dxa"/>
              <w:bottom w:w="90" w:type="dxa"/>
              <w:end w:w="120" w:type="dxa"/>
            </w:tcMar>
            <w:shd w:fill="111111"/>
            <w:vAlign w:val="center"/>
          </w:tcPr>
          <w:p>
            <w:pPr>
              <w:spacing w:after="0"/>
            </w:pPr>
            <w:r>
              <w:rPr>
                <w:rFonts w:ascii="Arial" w:hAnsi="Arial"/>
                <w:b/>
                <w:i w:val="0"/>
                <w:color w:val="FFFFFF"/>
                <w:sz w:val="14"/>
              </w:rPr>
              <w:t>EARLIER FIGURE OR STATEMENT</w:t>
            </w:r>
          </w:p>
        </w:tc>
        <w:tc>
          <w:tcPr>
            <w:tcW w:type="dxa" w:w="2500"/>
            <w:tcMar>
              <w:top w:w="90" w:type="dxa"/>
              <w:start w:w="120" w:type="dxa"/>
              <w:bottom w:w="90" w:type="dxa"/>
              <w:end w:w="120" w:type="dxa"/>
            </w:tcMar>
            <w:shd w:fill="111111"/>
            <w:vAlign w:val="center"/>
          </w:tcPr>
          <w:p>
            <w:pPr>
              <w:spacing w:after="0"/>
            </w:pPr>
            <w:r>
              <w:rPr>
                <w:rFonts w:ascii="Arial" w:hAnsi="Arial"/>
                <w:b/>
                <w:i w:val="0"/>
                <w:color w:val="FFFFFF"/>
                <w:sz w:val="14"/>
              </w:rPr>
              <w:t>CONTROLLING POSITION</w:t>
            </w:r>
          </w:p>
        </w:tc>
        <w:tc>
          <w:tcPr>
            <w:tcW w:type="dxa" w:w="2840"/>
            <w:tcMar>
              <w:top w:w="90" w:type="dxa"/>
              <w:start w:w="120" w:type="dxa"/>
              <w:bottom w:w="90" w:type="dxa"/>
              <w:end w:w="120" w:type="dxa"/>
            </w:tcMar>
            <w:shd w:fill="111111"/>
            <w:vAlign w:val="center"/>
          </w:tcPr>
          <w:p>
            <w:pPr>
              <w:spacing w:after="0"/>
            </w:pPr>
            <w:r>
              <w:rPr>
                <w:rFonts w:ascii="Arial" w:hAnsi="Arial"/>
                <w:b/>
                <w:i w:val="0"/>
                <w:color w:val="FFFFFF"/>
                <w:sz w:val="14"/>
              </w:rPr>
              <w:t>RESOLUTION</w:t>
            </w:r>
          </w:p>
        </w:tc>
      </w:tr>
      <w:tr>
        <w:trPr>
          <w:cantSplit/>
          <w:cantSplit/>
        </w:trPr>
        <w:tc>
          <w:tcPr>
            <w:tcW w:type="dxa" w:w="1700"/>
            <w:shd w:fill="F3F3F3"/>
            <w:vAlign w:val="top"/>
            <w:tcMar>
              <w:top w:w="90" w:type="dxa"/>
              <w:start w:w="120" w:type="dxa"/>
              <w:bottom w:w="90" w:type="dxa"/>
              <w:end w:w="120" w:type="dxa"/>
            </w:tcMar>
          </w:tcPr>
          <w:p>
            <w:pPr>
              <w:spacing w:after="0"/>
            </w:pPr>
            <w:r>
              <w:rPr>
                <w:rFonts w:ascii="Arial" w:hAnsi="Arial"/>
                <w:b/>
                <w:i w:val="0"/>
                <w:color w:val="111111"/>
                <w:sz w:val="14"/>
              </w:rPr>
              <w:t>Occupancy benchmark</w:t>
            </w:r>
          </w:p>
        </w:tc>
        <w:tc>
          <w:tcPr>
            <w:tcW w:type="dxa" w:w="2600"/>
            <w:shd w:fill="F3F3F3"/>
            <w:vAlign w:val="top"/>
            <w:tcMar>
              <w:top w:w="90" w:type="dxa"/>
              <w:start w:w="120" w:type="dxa"/>
              <w:bottom w:w="90" w:type="dxa"/>
              <w:end w:w="120" w:type="dxa"/>
            </w:tcMar>
          </w:tcPr>
          <w:p>
            <w:pPr>
              <w:spacing w:after="0"/>
            </w:pPr>
            <w:r>
              <w:rPr>
                <w:rFonts w:ascii="Arial" w:hAnsi="Arial"/>
                <w:b w:val="0"/>
                <w:i w:val="0"/>
                <w:color w:val="111111"/>
                <w:sz w:val="14"/>
              </w:rPr>
              <w:t>94% scheme occupancy</w:t>
            </w:r>
          </w:p>
        </w:tc>
        <w:tc>
          <w:tcPr>
            <w:tcW w:type="dxa" w:w="2500"/>
            <w:shd w:fill="F3F3F3"/>
            <w:vAlign w:val="top"/>
            <w:tcMar>
              <w:top w:w="90" w:type="dxa"/>
              <w:start w:w="120" w:type="dxa"/>
              <w:bottom w:w="90" w:type="dxa"/>
              <w:end w:w="120" w:type="dxa"/>
            </w:tcMar>
          </w:tcPr>
          <w:p>
            <w:pPr>
              <w:spacing w:after="0"/>
            </w:pPr>
            <w:r>
              <w:rPr>
                <w:rFonts w:ascii="Arial" w:hAnsi="Arial"/>
                <w:b w:val="0"/>
                <w:i w:val="0"/>
                <w:color w:val="111111"/>
                <w:sz w:val="14"/>
              </w:rPr>
              <w:t>98% Sdeira occupancy, Q2 2026</w:t>
            </w:r>
          </w:p>
        </w:tc>
        <w:tc>
          <w:tcPr>
            <w:tcW w:type="dxa" w:w="2840"/>
            <w:shd w:fill="F3F3F3"/>
            <w:vAlign w:val="top"/>
            <w:tcMar>
              <w:top w:w="90" w:type="dxa"/>
              <w:start w:w="120" w:type="dxa"/>
              <w:bottom w:w="90" w:type="dxa"/>
              <w:end w:w="120" w:type="dxa"/>
            </w:tcMar>
          </w:tcPr>
          <w:p>
            <w:pPr>
              <w:spacing w:after="0"/>
            </w:pPr>
            <w:r>
              <w:rPr>
                <w:rFonts w:ascii="Arial" w:hAnsi="Arial"/>
                <w:b w:val="0"/>
                <w:i w:val="0"/>
                <w:color w:val="111111"/>
                <w:sz w:val="14"/>
              </w:rPr>
              <w:t>Update card, website and deck with date and company-report qualifier.</w:t>
            </w:r>
          </w:p>
        </w:tc>
      </w:tr>
      <w:tr>
        <w:trPr>
          <w:cantSplit/>
          <w:cantSplit/>
        </w:trPr>
        <w:tc>
          <w:tcPr>
            <w:tcW w:type="dxa" w:w="1700"/>
            <w:shd w:fill="FFFFFF"/>
            <w:vAlign w:val="top"/>
            <w:tcMar>
              <w:top w:w="90" w:type="dxa"/>
              <w:start w:w="120" w:type="dxa"/>
              <w:bottom w:w="90" w:type="dxa"/>
              <w:end w:w="120" w:type="dxa"/>
            </w:tcMar>
          </w:tcPr>
          <w:p>
            <w:pPr>
              <w:spacing w:after="0"/>
            </w:pPr>
            <w:r>
              <w:rPr>
                <w:rFonts w:ascii="Arial" w:hAnsi="Arial"/>
                <w:b/>
                <w:i w:val="0"/>
                <w:color w:val="111111"/>
                <w:sz w:val="14"/>
              </w:rPr>
              <w:t>Capital and returns</w:t>
            </w:r>
          </w:p>
        </w:tc>
        <w:tc>
          <w:tcPr>
            <w:tcW w:type="dxa" w:w="2600"/>
            <w:shd w:fill="FFFFFF"/>
            <w:vAlign w:val="top"/>
            <w:tcMar>
              <w:top w:w="90" w:type="dxa"/>
              <w:start w:w="120" w:type="dxa"/>
              <w:bottom w:w="90" w:type="dxa"/>
              <w:end w:w="120" w:type="dxa"/>
            </w:tcMar>
          </w:tcPr>
          <w:p>
            <w:pPr>
              <w:spacing w:after="0"/>
            </w:pPr>
            <w:r>
              <w:rPr>
                <w:rFonts w:ascii="Arial" w:hAnsi="Arial"/>
                <w:b w:val="0"/>
                <w:i w:val="0"/>
                <w:color w:val="111111"/>
                <w:sz w:val="14"/>
              </w:rPr>
              <w:t>AED41-63M capital and 13-17% IRR generic case</w:t>
            </w:r>
          </w:p>
        </w:tc>
        <w:tc>
          <w:tcPr>
            <w:tcW w:type="dxa" w:w="2500"/>
            <w:shd w:fill="FFFFFF"/>
            <w:vAlign w:val="top"/>
            <w:tcMar>
              <w:top w:w="90" w:type="dxa"/>
              <w:start w:w="120" w:type="dxa"/>
              <w:bottom w:w="90" w:type="dxa"/>
              <w:end w:w="120" w:type="dxa"/>
            </w:tcMar>
          </w:tcPr>
          <w:p>
            <w:pPr>
              <w:spacing w:after="0"/>
            </w:pPr>
            <w:r>
              <w:rPr>
                <w:rFonts w:ascii="Arial" w:hAnsi="Arial"/>
                <w:b w:val="0"/>
                <w:i w:val="0"/>
                <w:color w:val="111111"/>
                <w:sz w:val="14"/>
              </w:rPr>
              <w:t>Master lease, acquisition and development have separate capital and IRR scenarios</w:t>
            </w:r>
          </w:p>
        </w:tc>
        <w:tc>
          <w:tcPr>
            <w:tcW w:type="dxa" w:w="2840"/>
            <w:shd w:fill="FFFFFF"/>
            <w:vAlign w:val="top"/>
            <w:tcMar>
              <w:top w:w="90" w:type="dxa"/>
              <w:start w:w="120" w:type="dxa"/>
              <w:bottom w:w="90" w:type="dxa"/>
              <w:end w:w="120" w:type="dxa"/>
            </w:tcMar>
          </w:tcPr>
          <w:p>
            <w:pPr>
              <w:spacing w:after="0"/>
            </w:pPr>
            <w:r>
              <w:rPr>
                <w:rFonts w:ascii="Arial" w:hAnsi="Arial"/>
                <w:b w:val="0"/>
                <w:i w:val="0"/>
                <w:color w:val="111111"/>
                <w:sz w:val="14"/>
              </w:rPr>
              <w:t>Replace the generic block with the three model structures.</w:t>
            </w:r>
          </w:p>
        </w:tc>
      </w:tr>
    </w:tbl>
    <w:p>
      <w:pPr>
        <w:spacing w:after="40"/>
      </w:pPr>
    </w:p>
    <w:p>
      <w:r>
        <w:br w:type="page"/>
      </w:r>
    </w:p>
    <w:p>
      <w:pPr>
        <w:pStyle w:val="Heading1"/>
      </w:pPr>
      <w:r>
        <w:t>Material claim register</w:t>
      </w:r>
    </w:p>
    <w:tbl>
      <w:tblPr>
        <w:tblStyle w:val="TableGrid"/>
        <w:tblW w:type="dxa" w:w="9640"/>
        <w:tblLayout w:type="fixed"/>
        <w:tblLook w:firstColumn="1" w:firstRow="1" w:lastColumn="0" w:lastRow="0" w:noHBand="0" w:noVBand="1" w:val="04A0"/>
        <w:jc w:val="left"/>
        <w:tblInd w:w="0" w:type="dxa"/>
      </w:tblPr>
      <w:tblGrid>
        <w:gridCol w:w="1100"/>
        <w:gridCol w:w="1900"/>
        <w:gridCol w:w="1500"/>
        <w:gridCol w:w="1300"/>
        <w:gridCol w:w="2100"/>
        <w:gridCol w:w="1740"/>
      </w:tblGrid>
      <w:tr>
        <w:trPr>
          <w:cantSplit/>
          <w:tblHeader w:val="true"/>
          <w:cantSplit/>
        </w:trPr>
        <w:tc>
          <w:tcPr>
            <w:tcW w:type="dxa" w:w="1100"/>
            <w:tcMar>
              <w:top w:w="90" w:type="dxa"/>
              <w:start w:w="120" w:type="dxa"/>
              <w:bottom w:w="90" w:type="dxa"/>
              <w:end w:w="120" w:type="dxa"/>
            </w:tcMar>
            <w:shd w:fill="111111"/>
            <w:vAlign w:val="center"/>
          </w:tcPr>
          <w:p>
            <w:pPr>
              <w:spacing w:after="0"/>
            </w:pPr>
            <w:r>
              <w:rPr>
                <w:rFonts w:ascii="Arial" w:hAnsi="Arial"/>
                <w:b/>
                <w:i w:val="0"/>
                <w:color w:val="FFFFFF"/>
                <w:sz w:val="14"/>
              </w:rPr>
              <w:t>CLAIM</w:t>
            </w:r>
          </w:p>
        </w:tc>
        <w:tc>
          <w:tcPr>
            <w:tcW w:type="dxa" w:w="1900"/>
            <w:tcMar>
              <w:top w:w="90" w:type="dxa"/>
              <w:start w:w="120" w:type="dxa"/>
              <w:bottom w:w="90" w:type="dxa"/>
              <w:end w:w="120" w:type="dxa"/>
            </w:tcMar>
            <w:shd w:fill="111111"/>
            <w:vAlign w:val="center"/>
          </w:tcPr>
          <w:p>
            <w:pPr>
              <w:spacing w:after="0"/>
            </w:pPr>
            <w:r>
              <w:rPr>
                <w:rFonts w:ascii="Arial" w:hAnsi="Arial"/>
                <w:b/>
                <w:i w:val="0"/>
                <w:color w:val="FFFFFF"/>
                <w:sz w:val="14"/>
              </w:rPr>
              <w:t>METRIC</w:t>
            </w:r>
          </w:p>
        </w:tc>
        <w:tc>
          <w:tcPr>
            <w:tcW w:type="dxa" w:w="1500"/>
            <w:tcMar>
              <w:top w:w="90" w:type="dxa"/>
              <w:start w:w="120" w:type="dxa"/>
              <w:bottom w:w="90" w:type="dxa"/>
              <w:end w:w="120" w:type="dxa"/>
            </w:tcMar>
            <w:shd w:fill="111111"/>
            <w:vAlign w:val="center"/>
          </w:tcPr>
          <w:p>
            <w:pPr>
              <w:spacing w:after="0"/>
            </w:pPr>
            <w:r>
              <w:rPr>
                <w:rFonts w:ascii="Arial" w:hAnsi="Arial"/>
                <w:b/>
                <w:i w:val="0"/>
                <w:color w:val="FFFFFF"/>
                <w:sz w:val="14"/>
              </w:rPr>
              <w:t>VALUE</w:t>
            </w:r>
          </w:p>
        </w:tc>
        <w:tc>
          <w:tcPr>
            <w:tcW w:type="dxa" w:w="1300"/>
            <w:tcMar>
              <w:top w:w="90" w:type="dxa"/>
              <w:start w:w="120" w:type="dxa"/>
              <w:bottom w:w="90" w:type="dxa"/>
              <w:end w:w="120" w:type="dxa"/>
            </w:tcMar>
            <w:shd w:fill="111111"/>
            <w:vAlign w:val="center"/>
          </w:tcPr>
          <w:p>
            <w:pPr>
              <w:spacing w:after="0"/>
            </w:pPr>
            <w:r>
              <w:rPr>
                <w:rFonts w:ascii="Arial" w:hAnsi="Arial"/>
                <w:b/>
                <w:i w:val="0"/>
                <w:color w:val="FFFFFF"/>
                <w:sz w:val="14"/>
              </w:rPr>
              <w:t>PERIOD</w:t>
            </w:r>
          </w:p>
        </w:tc>
        <w:tc>
          <w:tcPr>
            <w:tcW w:type="dxa" w:w="2100"/>
            <w:tcMar>
              <w:top w:w="90" w:type="dxa"/>
              <w:start w:w="120" w:type="dxa"/>
              <w:bottom w:w="90" w:type="dxa"/>
              <w:end w:w="120" w:type="dxa"/>
            </w:tcMar>
            <w:shd w:fill="111111"/>
            <w:vAlign w:val="center"/>
          </w:tcPr>
          <w:p>
            <w:pPr>
              <w:spacing w:after="0"/>
            </w:pPr>
            <w:r>
              <w:rPr>
                <w:rFonts w:ascii="Arial" w:hAnsi="Arial"/>
                <w:b/>
                <w:i w:val="0"/>
                <w:color w:val="FFFFFF"/>
                <w:sz w:val="14"/>
              </w:rPr>
              <w:t>EVIDENCE</w:t>
            </w:r>
          </w:p>
        </w:tc>
        <w:tc>
          <w:tcPr>
            <w:tcW w:type="dxa" w:w="1740"/>
            <w:tcMar>
              <w:top w:w="90" w:type="dxa"/>
              <w:start w:w="120" w:type="dxa"/>
              <w:bottom w:w="90" w:type="dxa"/>
              <w:end w:w="120" w:type="dxa"/>
            </w:tcMar>
            <w:shd w:fill="111111"/>
            <w:vAlign w:val="center"/>
          </w:tcPr>
          <w:p>
            <w:pPr>
              <w:spacing w:after="0"/>
            </w:pPr>
            <w:r>
              <w:rPr>
                <w:rFonts w:ascii="Arial" w:hAnsi="Arial"/>
                <w:b/>
                <w:i w:val="0"/>
                <w:color w:val="FFFFFF"/>
                <w:sz w:val="14"/>
              </w:rPr>
              <w:t>SOURCE / LIMITATION</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V06-C01</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Registered-beneficiary physical TAM</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approximately 1.9M workers/beds</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 research</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GOVERNMENT / PRIMARY-SOURCE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S10. Physical bed universe, not verified revenue TAM.</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V06-C02</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Sdeira leased beds</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135898 beds</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Q2 2026</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COMPANY-REPORTED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S10. Company-reported benchmark.</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V06-C03</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Sdeira occupancy</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98% %</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Q2 2026</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COMPANY-REPORTED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S10. Company-reported operating benchmark, not a UAE market average.</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V06-C04</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Initial capital</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AED 5.76M AED</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S10. Assumes required wholesale head rent and recoverable deposit/working capital.</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V06-C05</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Minimum signed pre-commitment</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75% % of beds</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Before head lease</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S10. Modelled committee condition.</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V06-C06</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Operating break-even occupancy</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67.3% %</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S10. Explains 75% minimum pre-commitment.</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V06-C07</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Five-year IRR - downside/base/upside</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-15.8% / 26.6% / 55.4% %</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Five-year model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S10. High return compensates for fixed-rent and occupancy risk.</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V06-C08</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All-in capital</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AED 57.65M AED</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S10. Anchored to an asking listing, not a completed transaction.</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V06-C09</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Year-one revenue</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9.072M AED/year</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Base case</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S10. 90% occupancy at AED700/bed/month; modelled assumption.</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V06-C10</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Five-year unlevered IRR - downside/base/upside</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3.9% / 13.7% / 21.6% %</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Five-year model</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S10. Sensitive to occupancy and terminal yield.</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V06-C11</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All-in capital</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56.0M AED</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S10. Contractor and plot quotations required.</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V06-C12</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Five-year IRR - downside/base/upside</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approximately 0% / 14.5% / 23.6% %</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Five-year model</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S10. Downside combines 15% CAPEX overrun and delay.</w:t>
            </w:r>
          </w:p>
        </w:tc>
      </w:tr>
    </w:tbl>
    <w:p>
      <w:pPr>
        <w:spacing w:after="40"/>
      </w:pPr>
    </w:p>
    <w:p>
      <w:pPr>
        <w:pStyle w:val="Heading1"/>
      </w:pPr>
      <w:r>
        <w:t>Source register</w:t>
      </w:r>
    </w:p>
    <w:p>
      <w:pPr>
        <w:spacing w:after="40"/>
      </w:pPr>
      <w:r>
        <w:rPr>
          <w:rFonts w:ascii="Arial" w:hAnsi="Arial"/>
          <w:b/>
          <w:i w:val="0"/>
          <w:color w:val="111111"/>
          <w:sz w:val="18"/>
        </w:rPr>
        <w:t>[S10] UAE B2B Worker Accommodation Platform</w:t>
      </w:r>
    </w:p>
    <w:p>
      <w:pPr>
        <w:spacing w:after="80"/>
      </w:pPr>
      <w:r>
        <w:rPr>
          <w:rFonts w:ascii="Arial" w:hAnsi="Arial"/>
          <w:b/>
          <w:i w:val="0"/>
          <w:color w:val="555555"/>
          <w:sz w:val="19"/>
        </w:rPr>
        <w:t xml:space="preserve">Organisation / type: </w:t>
      </w:r>
      <w:r>
        <w:rPr>
          <w:rFonts w:ascii="Arial" w:hAnsi="Arial"/>
          <w:b w:val="0"/>
          <w:i w:val="0"/>
          <w:color w:val="111111"/>
          <w:sz w:val="19"/>
        </w:rPr>
        <w:t>Completed Deep Research</w:t>
      </w:r>
    </w:p>
    <w:p>
      <w:pPr>
        <w:spacing w:after="80"/>
      </w:pPr>
      <w:r>
        <w:rPr>
          <w:rFonts w:ascii="Arial" w:hAnsi="Arial"/>
          <w:b/>
          <w:i w:val="0"/>
          <w:color w:val="555555"/>
          <w:sz w:val="19"/>
        </w:rPr>
        <w:t xml:space="preserve">Date: </w:t>
      </w:r>
      <w:r>
        <w:rPr>
          <w:rFonts w:ascii="Arial" w:hAnsi="Arial"/>
          <w:b w:val="0"/>
          <w:i w:val="0"/>
          <w:color w:val="111111"/>
          <w:sz w:val="19"/>
        </w:rPr>
        <w:t>2026-08-31</w:t>
      </w:r>
    </w:p>
    <w:p>
      <w:pPr>
        <w:spacing w:after="80"/>
      </w:pPr>
      <w:r>
        <w:rPr>
          <w:rFonts w:ascii="Arial" w:hAnsi="Arial"/>
          <w:b/>
          <w:i w:val="0"/>
          <w:color w:val="555555"/>
          <w:sz w:val="19"/>
        </w:rPr>
        <w:t xml:space="preserve">File: </w:t>
      </w:r>
      <w:r>
        <w:rPr>
          <w:rFonts w:ascii="Arial" w:hAnsi="Arial"/>
          <w:b w:val="0"/>
          <w:i w:val="0"/>
          <w:color w:val="111111"/>
          <w:sz w:val="19"/>
        </w:rPr>
        <w:t>Pasted markdown(7).md</w:t>
      </w:r>
    </w:p>
    <w:p>
      <w:pPr>
        <w:spacing w:after="80"/>
      </w:pPr>
      <w:r>
        <w:rPr>
          <w:rFonts w:ascii="Arial" w:hAnsi="Arial"/>
          <w:b/>
          <w:i w:val="0"/>
          <w:color w:val="555555"/>
          <w:sz w:val="19"/>
        </w:rPr>
        <w:t xml:space="preserve">Supports: </w:t>
      </w:r>
      <w:r>
        <w:rPr>
          <w:rFonts w:ascii="Arial" w:hAnsi="Arial"/>
          <w:b w:val="0"/>
          <w:i w:val="0"/>
          <w:color w:val="111111"/>
          <w:sz w:val="19"/>
        </w:rPr>
        <w:t>Regulation, demand, pricing, master lease/acquisition/development models and sensitivities.</w:t>
      </w:r>
    </w:p>
    <w:p>
      <w:pPr>
        <w:spacing w:after="160"/>
      </w:pPr>
      <w:hyperlink r:id="rId11">
        <w:r>
          <w:rPr>
            <w:color w:val="111111"/>
            <w:u w:val="single"/>
          </w:rPr>
          <w:t>https://mohre.gov.ae/assets/download/5e60722/Ministerial%20Resolution%20No.%20122%20of%202026%20Regarding%20the%20Update%20of%20Labour%20Accommodation%20Requirements.pdf.aspx</w:t>
        </w:r>
      </w:hyperlink>
    </w:p>
    <w:p>
      <w:pPr>
        <w:keepNext w:val="0"/>
        <w:spacing w:after="0"/>
        <w:jc w:val="center"/>
      </w:pPr>
      <w:r>
        <w:rPr>
          <w:rFonts w:ascii="Arial" w:hAnsi="Arial"/>
          <w:b/>
          <w:i w:val="0"/>
          <w:color w:val="888888"/>
          <w:sz w:val="16"/>
        </w:rPr>
        <w:t>END OF REPORT</w:t>
      </w:r>
    </w:p>
    <w:sectPr w:rsidR="00FC693F" w:rsidRPr="0006063C" w:rsidSect="00034616">
      <w:headerReference w:type="default" r:id="rId9"/>
      <w:footerReference w:type="default" r:id="rId10"/>
      <w:pgSz w:w="11906" w:h="16838"/>
      <w:pgMar w:top="1134" w:right="1134" w:bottom="1020" w:left="1134"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i w:val="0"/>
        <w:color w:val="888888"/>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4" w:space="4" w:color="D2D2D2"/>
      </w:pBdr>
    </w:pPr>
    <w:r>
      <w:drawing>
        <wp:inline xmlns:a="http://schemas.openxmlformats.org/drawingml/2006/main" xmlns:pic="http://schemas.openxmlformats.org/drawingml/2006/picture">
          <wp:extent cx="621792" cy="149001"/>
          <wp:docPr id="1" name="Picture 1"/>
          <wp:cNvGraphicFramePr>
            <a:graphicFrameLocks noChangeAspect="1"/>
          </wp:cNvGraphicFramePr>
          <a:graphic>
            <a:graphicData uri="http://schemas.openxmlformats.org/drawingml/2006/picture">
              <pic:pic>
                <pic:nvPicPr>
                  <pic:cNvPr id="0" name="imperial-alfa-mark.png"/>
                  <pic:cNvPicPr/>
                </pic:nvPicPr>
                <pic:blipFill>
                  <a:blip r:embed="rId1"/>
                  <a:stretch>
                    <a:fillRect/>
                  </a:stretch>
                </pic:blipFill>
                <pic:spPr>
                  <a:xfrm>
                    <a:off x="0" y="0"/>
                    <a:ext cx="621792" cy="149001"/>
                  </a:xfrm>
                  <a:prstGeom prst="rect"/>
                </pic:spPr>
              </pic:pic>
            </a:graphicData>
          </a:graphic>
        </wp:inline>
      </w:drawing>
    </w:r>
    <w:r>
      <w:rPr>
        <w:rFonts w:ascii="Arial" w:hAnsi="Arial"/>
        <w:b w:val="0"/>
        <w:i w:val="0"/>
        <w:color w:val="888888"/>
        <w:sz w:val="16"/>
      </w:rPr>
      <w:t xml:space="preserve">   NEW VENTURES   /   FULL RESEARCH   /   31 AUGUST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color w:val="111111"/>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Arial" w:hAnsi="Arial"/>
      <w:b/>
      <w:bCs/>
      <w:color w:val="111111"/>
      <w:sz w:val="36"/>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rial" w:hAnsi="Arial"/>
      <w:b/>
      <w:bCs/>
      <w:color w:val="111111"/>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55555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line="240" w:lineRule="auto" w:before="0"/>
      <w:contextualSpacing/>
    </w:pPr>
    <w:rPr>
      <w:rFonts w:asciiTheme="majorHAnsi" w:eastAsiaTheme="majorEastAsia" w:hAnsiTheme="majorHAnsi" w:cstheme="majorBidi" w:ascii="Arial" w:hAnsi="Arial"/>
      <w:b/>
      <w:color w:val="111111"/>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rial" w:hAnsi="Arial"/>
      <w:b w:val="0"/>
      <w:i/>
      <w:iCs/>
      <w:color w:val="555555"/>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59" w:lineRule="auto"/>
      <w:ind w:left="346" w:hanging="230"/>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59" w:lineRule="auto"/>
      <w:ind w:left="346" w:hanging="230"/>
      <w:contextualSpacing/>
    </w:pPr>
    <w:rPr>
      <w:rFonts w:ascii="Arial" w:hAnsi="Arial"/>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spacing w:after="140"/>
    </w:pPr>
    <w:rPr>
      <w:rFonts w:ascii="Arial" w:hAnsi="Arial"/>
      <w:b/>
      <w:color w:val="88888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mohre.gov.ae/assets/download/5e60722/Ministerial%20Resolution%20No.%20122%20of%202026%20Regarding%20the%20Update%20of%20Labour%20Accommodation%20Requirements.pdf.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 Accommodation - Consolidated Deep Research</dc:title>
  <dc:subject>Consolidated Deep Research</dc:subject>
  <dc:creator>ALFA New Ventures</dc:creator>
  <cp:keywords>UAE, venture research, decision review, 2026</cp:keywords>
  <dc:description>Built from the controlling data register dated 31 August 2026.</dc:description>
  <cp:lastModifiedBy/>
  <cp:revision>1</cp:revision>
  <dcterms:created xsi:type="dcterms:W3CDTF">2013-12-23T23:15:00Z</dcterms:created>
  <dcterms:modified xsi:type="dcterms:W3CDTF">2013-12-23T23:15:00Z</dcterms:modified>
  <cp:category/>
</cp:coreProperties>
</file>