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after="800"/>
      </w:pPr>
      <w:r>
        <w:rPr>
          <w:rFonts w:ascii="Arial" w:hAnsi="Arial"/>
          <w:b/>
          <w:i w:val="0"/>
          <w:color w:val="888888"/>
          <w:sz w:val="16"/>
        </w:rPr>
        <w:t>V04  /  CONSOLIDATED DEEP RESEARCH</w:t>
      </w:r>
    </w:p>
    <w:p>
      <w:pPr>
        <w:spacing w:after="280"/>
      </w:pPr>
      <w:r>
        <w:drawing>
          <wp:inline xmlns:a="http://schemas.openxmlformats.org/drawingml/2006/main" xmlns:pic="http://schemas.openxmlformats.org/drawingml/2006/picture">
            <wp:extent cx="713750" cy="384048"/>
            <wp:docPr id="1" name="Picture 1"/>
            <wp:cNvGraphicFramePr>
              <a:graphicFrameLocks noChangeAspect="1"/>
            </wp:cNvGraphicFramePr>
            <a:graphic>
              <a:graphicData uri="http://schemas.openxmlformats.org/drawingml/2006/picture">
                <pic:pic>
                  <pic:nvPicPr>
                    <pic:cNvPr id="0" name="kligo.png"/>
                    <pic:cNvPicPr/>
                  </pic:nvPicPr>
                  <pic:blipFill>
                    <a:blip r:embed="rId11"/>
                    <a:stretch>
                      <a:fillRect/>
                    </a:stretch>
                  </pic:blipFill>
                  <pic:spPr>
                    <a:xfrm>
                      <a:off x="0" y="0"/>
                      <a:ext cx="713750" cy="384048"/>
                    </a:xfrm>
                    <a:prstGeom prst="rect"/>
                  </pic:spPr>
                </pic:pic>
              </a:graphicData>
            </a:graphic>
          </wp:inline>
        </w:drawing>
      </w:r>
    </w:p>
    <w:p>
      <w:pPr>
        <w:pStyle w:val="Title"/>
        <w:spacing w:after="160"/>
      </w:pPr>
      <w:r>
        <w:t>KLIGO</w:t>
      </w:r>
    </w:p>
    <w:p>
      <w:pPr>
        <w:keepNext w:val="0"/>
        <w:spacing w:after="360"/>
      </w:pPr>
      <w:r>
        <w:rPr>
          <w:rFonts w:ascii="Arial" w:hAnsi="Arial"/>
          <w:b/>
          <w:i w:val="0"/>
          <w:color w:val="555555"/>
          <w:sz w:val="20"/>
        </w:rPr>
        <w:t>CONSTRUCTION TECHNOLOGY MARKETPLACE</w:t>
      </w:r>
    </w:p>
    <w:p>
      <w:pPr>
        <w:keepNext w:val="0"/>
        <w:spacing w:after="480"/>
      </w:pPr>
      <w:r>
        <w:rPr>
          <w:rFonts w:ascii="Arial" w:hAnsi="Arial"/>
          <w:b w:val="0"/>
          <w:i w:val="0"/>
          <w:color w:val="252525"/>
          <w:sz w:val="30"/>
        </w:rPr>
        <w:t>Israel-first B2B construction marketplace; prove liquidity before scale.</w:t>
      </w:r>
    </w:p>
    <w:p>
      <w:pPr>
        <w:spacing w:before="40" w:after="360"/>
        <w:pBdr>
          <w:bottom w:val="single" w:sz="8" w:space="1" w:color="111111"/>
        </w:pBdr>
      </w:pPr>
    </w:p>
    <w:p>
      <w:pPr>
        <w:spacing w:after="80"/>
      </w:pPr>
      <w:r>
        <w:rPr>
          <w:rFonts w:ascii="Arial" w:hAnsi="Arial"/>
          <w:b/>
          <w:i w:val="0"/>
          <w:color w:val="555555"/>
          <w:sz w:val="19"/>
        </w:rPr>
        <w:t xml:space="preserve">Geographic scope: </w:t>
      </w:r>
      <w:r>
        <w:rPr>
          <w:rFonts w:ascii="Arial" w:hAnsi="Arial"/>
          <w:b w:val="0"/>
          <w:i w:val="0"/>
          <w:color w:val="111111"/>
          <w:sz w:val="19"/>
        </w:rPr>
        <w:t>Israel first</w:t>
      </w:r>
    </w:p>
    <w:p>
      <w:pPr>
        <w:spacing w:after="80"/>
      </w:pPr>
      <w:r>
        <w:rPr>
          <w:rFonts w:ascii="Arial" w:hAnsi="Arial"/>
          <w:b/>
          <w:i w:val="0"/>
          <w:color w:val="555555"/>
          <w:sz w:val="19"/>
        </w:rPr>
        <w:t xml:space="preserve">Data cut-off: </w:t>
      </w:r>
      <w:r>
        <w:rPr>
          <w:rFonts w:ascii="Arial" w:hAnsi="Arial"/>
          <w:b w:val="0"/>
          <w:i w:val="0"/>
          <w:color w:val="111111"/>
          <w:sz w:val="19"/>
        </w:rPr>
        <w:t>31 August 2026</w:t>
      </w:r>
    </w:p>
    <w:p>
      <w:pPr>
        <w:spacing w:after="80"/>
      </w:pPr>
      <w:r>
        <w:rPr>
          <w:rFonts w:ascii="Arial" w:hAnsi="Arial"/>
          <w:b/>
          <w:i w:val="0"/>
          <w:color w:val="555555"/>
          <w:sz w:val="19"/>
        </w:rPr>
        <w:t xml:space="preserve">Decision: </w:t>
      </w:r>
      <w:r>
        <w:rPr>
          <w:rFonts w:ascii="Arial" w:hAnsi="Arial"/>
          <w:b w:val="0"/>
          <w:i w:val="0"/>
          <w:color w:val="111111"/>
          <w:sz w:val="19"/>
        </w:rPr>
        <w:t>CONDITIONAL GO - validation first</w:t>
      </w:r>
    </w:p>
    <w:p>
      <w:pPr>
        <w:spacing w:after="80"/>
      </w:pPr>
      <w:r>
        <w:rPr>
          <w:rFonts w:ascii="Arial" w:hAnsi="Arial"/>
          <w:b/>
          <w:i w:val="0"/>
          <w:color w:val="555555"/>
          <w:sz w:val="19"/>
        </w:rPr>
        <w:t xml:space="preserve">Risk level: </w:t>
      </w:r>
      <w:r>
        <w:rPr>
          <w:rFonts w:ascii="Arial" w:hAnsi="Arial"/>
          <w:b w:val="0"/>
          <w:i w:val="0"/>
          <w:color w:val="111111"/>
          <w:sz w:val="19"/>
        </w:rPr>
        <w:t>High</w:t>
      </w:r>
    </w:p>
    <w:p>
      <w:pPr>
        <w:spacing w:after="80"/>
      </w:pPr>
      <w:r>
        <w:rPr>
          <w:rFonts w:ascii="Arial" w:hAnsi="Arial"/>
          <w:b/>
          <w:i w:val="0"/>
          <w:color w:val="555555"/>
          <w:sz w:val="19"/>
        </w:rPr>
        <w:t xml:space="preserve">Controlling source: </w:t>
      </w:r>
      <w:r>
        <w:rPr>
          <w:rFonts w:ascii="Arial" w:hAnsi="Arial"/>
          <w:b w:val="0"/>
          <w:i w:val="0"/>
          <w:color w:val="111111"/>
          <w:sz w:val="19"/>
        </w:rPr>
        <w:t>ALFA New Ventures Master Data Register v1.0</w:t>
      </w:r>
    </w:p>
    <w:p>
      <w:pPr>
        <w:keepNext w:val="0"/>
        <w:spacing w:after="480"/>
      </w:pPr>
      <w:r>
        <w:rPr>
          <w:rFonts w:ascii="Arial" w:hAnsi="Arial"/>
          <w:b w:val="0"/>
          <w:i/>
          <w:color w:val="888888"/>
          <w:sz w:val="18"/>
        </w:rPr>
        <w:t>Consolidated from completed research and locked evidence. Internal decision review.</w:t>
      </w:r>
    </w:p>
    <w:tbl>
      <w:tblPr>
        <w:tblStyle w:val="TableGrid"/>
        <w:tblW w:type="dxa" w:w="9640"/>
        <w:jc w:val="left"/>
        <w:tblLayout w:type="fixed"/>
        <w:tblLook w:firstColumn="1" w:firstRow="1" w:lastColumn="0" w:lastRow="0" w:noHBand="0" w:noVBand="1" w:val="04A0"/>
        <w:tblInd w:w="0" w:type="dxa"/>
      </w:tblPr>
      <w:tblGrid>
        <w:gridCol w:w="2410"/>
        <w:gridCol w:w="2410"/>
        <w:gridCol w:w="2410"/>
        <w:gridCol w:w="2410"/>
      </w:tblGrid>
      <w:tr>
        <w:trPr>
          <w:cantSplit/>
        </w:trPr>
        <w:tc>
          <w:tcPr>
            <w:tcW w:type="dxa" w:w="2410"/>
            <w:shd w:fill="F3F3F3"/>
            <w:tcMar>
              <w:top w:w="90" w:type="dxa"/>
              <w:start w:w="120" w:type="dxa"/>
              <w:bottom w:w="90" w:type="dxa"/>
              <w:end w:w="120" w:type="dxa"/>
            </w:tcMar>
          </w:tcPr>
          <w:p>
            <w:pPr>
              <w:spacing w:after="60"/>
            </w:pPr>
            <w:r>
              <w:rPr>
                <w:rFonts w:ascii="Arial" w:hAnsi="Arial"/>
                <w:b/>
                <w:i w:val="0"/>
                <w:color w:val="111111"/>
                <w:sz w:val="30"/>
              </w:rPr>
              <w:t>70436</w:t>
            </w:r>
          </w:p>
          <w:p>
            <w:pPr>
              <w:spacing w:after="0"/>
            </w:pPr>
            <w:r>
              <w:rPr>
                <w:rFonts w:ascii="Arial" w:hAnsi="Arial"/>
                <w:b/>
                <w:i w:val="0"/>
                <w:color w:val="555555"/>
                <w:sz w:val="14"/>
              </w:rPr>
              <w:t>Active construction businesses</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NIS 10.1B</w:t>
            </w:r>
          </w:p>
          <w:p>
            <w:pPr>
              <w:spacing w:after="0"/>
            </w:pPr>
            <w:r>
              <w:rPr>
                <w:rFonts w:ascii="Arial" w:hAnsi="Arial"/>
                <w:b/>
                <w:i w:val="0"/>
                <w:color w:val="555555"/>
                <w:sz w:val="14"/>
              </w:rPr>
              <w:t>Base TAM GMV</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NIS 1.5B</w:t>
            </w:r>
          </w:p>
          <w:p>
            <w:pPr>
              <w:spacing w:after="0"/>
            </w:pPr>
            <w:r>
              <w:rPr>
                <w:rFonts w:ascii="Arial" w:hAnsi="Arial"/>
                <w:b/>
                <w:i w:val="0"/>
                <w:color w:val="555555"/>
                <w:sz w:val="14"/>
              </w:rPr>
              <w:t>Base SAM GMV</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NIS 75-120M</w:t>
            </w:r>
          </w:p>
          <w:p>
            <w:pPr>
              <w:spacing w:after="0"/>
            </w:pPr>
            <w:r>
              <w:rPr>
                <w:rFonts w:ascii="Arial" w:hAnsi="Arial"/>
                <w:b/>
                <w:i w:val="0"/>
                <w:color w:val="555555"/>
                <w:sz w:val="14"/>
              </w:rPr>
              <w:t>SOM GMV</w:t>
            </w:r>
          </w:p>
        </w:tc>
      </w:tr>
    </w:tbl>
    <w:p>
      <w:pPr>
        <w:spacing w:after="60"/>
      </w:pPr>
    </w:p>
    <w:p>
      <w:pPr>
        <w:keepNext w:val="0"/>
        <w:spacing w:after="80"/>
      </w:pPr>
      <w:r>
        <w:rPr>
          <w:rFonts w:ascii="Arial" w:hAnsi="Arial"/>
          <w:b/>
          <w:i w:val="0"/>
          <w:color w:val="888888"/>
          <w:sz w:val="16"/>
        </w:rPr>
        <w:t>Evidence rule</w:t>
      </w:r>
    </w:p>
    <w:p>
      <w:pPr>
        <w:keepNext w:val="0"/>
        <w:spacing w:after="0"/>
      </w:pPr>
      <w:r>
        <w:rPr>
          <w:rFonts w:ascii="Arial" w:hAnsi="Arial"/>
          <w:b w:val="0"/>
          <w:i w:val="0"/>
          <w:color w:val="555555"/>
          <w:sz w:val="18"/>
        </w:rPr>
        <w:t>Published facts, company-reported figures, calculations and modelled assumptions remain separately labelled. Missing quotations, contracts and live operating evidence have not been invented.</w:t>
      </w:r>
    </w:p>
    <w:p>
      <w:r>
        <w:br w:type="page"/>
      </w:r>
    </w:p>
    <w:p>
      <w:pPr>
        <w:pStyle w:val="Heading1"/>
      </w:pPr>
      <w:r>
        <w:t>Report map</w:t>
      </w:r>
    </w:p>
    <w:tbl>
      <w:tblPr>
        <w:tblStyle w:val="TableGrid"/>
        <w:tblW w:type="dxa" w:w="9640"/>
        <w:tblLayout w:type="fixed"/>
        <w:tblLook w:firstColumn="1" w:firstRow="1" w:lastColumn="0" w:lastRow="0" w:noHBand="0" w:noVBand="1" w:val="04A0"/>
        <w:jc w:val="left"/>
        <w:tblInd w:w="0" w:type="dxa"/>
      </w:tblPr>
      <w:tblGrid>
        <w:gridCol w:w="1300"/>
        <w:gridCol w:w="8340"/>
      </w:tblGrid>
      <w:tr>
        <w:trPr>
          <w:cantSplit/>
          <w:tblHeader w:val="true"/>
          <w:cantSplit/>
        </w:trPr>
        <w:tc>
          <w:tcPr>
            <w:tcW w:type="dxa" w:w="1300"/>
            <w:tcMar>
              <w:top w:w="90" w:type="dxa"/>
              <w:start w:w="120" w:type="dxa"/>
              <w:bottom w:w="90" w:type="dxa"/>
              <w:end w:w="120" w:type="dxa"/>
            </w:tcMar>
            <w:shd w:fill="111111"/>
            <w:vAlign w:val="center"/>
          </w:tcPr>
          <w:p>
            <w:pPr>
              <w:spacing w:after="0"/>
            </w:pPr>
            <w:r>
              <w:rPr>
                <w:rFonts w:ascii="Arial" w:hAnsi="Arial"/>
                <w:b/>
                <w:i w:val="0"/>
                <w:color w:val="FFFFFF"/>
                <w:sz w:val="18"/>
              </w:rPr>
              <w:t>SECTION</w:t>
            </w:r>
          </w:p>
        </w:tc>
        <w:tc>
          <w:tcPr>
            <w:tcW w:type="dxa" w:w="8340"/>
            <w:tcMar>
              <w:top w:w="90" w:type="dxa"/>
              <w:start w:w="120" w:type="dxa"/>
              <w:bottom w:w="90" w:type="dxa"/>
              <w:end w:w="120" w:type="dxa"/>
            </w:tcMar>
            <w:shd w:fill="111111"/>
            <w:vAlign w:val="center"/>
          </w:tcPr>
          <w:p>
            <w:pPr>
              <w:spacing w:after="0"/>
            </w:pPr>
            <w:r>
              <w:rPr>
                <w:rFonts w:ascii="Arial" w:hAnsi="Arial"/>
                <w:b/>
                <w:i w:val="0"/>
                <w:color w:val="FFFFFF"/>
                <w:sz w:val="18"/>
              </w:rPr>
              <w:t>CONTENT</w:t>
            </w:r>
          </w:p>
        </w:tc>
      </w:tr>
      <w:tr>
        <w:trPr>
          <w:cantSplit/>
          <w:cantSplit/>
        </w:trPr>
        <w:tc>
          <w:tcPr>
            <w:tcW w:type="dxa" w:w="1300"/>
            <w:shd w:fill="F3F3F3"/>
            <w:vAlign w:val="top"/>
            <w:tcMar>
              <w:top w:w="90" w:type="dxa"/>
              <w:start w:w="120" w:type="dxa"/>
              <w:bottom w:w="90" w:type="dxa"/>
              <w:end w:w="120" w:type="dxa"/>
            </w:tcMar>
          </w:tcPr>
          <w:p>
            <w:pPr>
              <w:spacing w:after="0"/>
            </w:pPr>
            <w:r>
              <w:rPr>
                <w:rFonts w:ascii="Arial" w:hAnsi="Arial"/>
                <w:b/>
                <w:i w:val="0"/>
                <w:color w:val="111111"/>
                <w:sz w:val="18"/>
              </w:rPr>
              <w:t>01</w:t>
            </w:r>
          </w:p>
        </w:tc>
        <w:tc>
          <w:tcPr>
            <w:tcW w:type="dxa" w:w="8340"/>
            <w:shd w:fill="F3F3F3"/>
            <w:vAlign w:val="top"/>
            <w:tcMar>
              <w:top w:w="90" w:type="dxa"/>
              <w:start w:w="120" w:type="dxa"/>
              <w:bottom w:w="90" w:type="dxa"/>
              <w:end w:w="120" w:type="dxa"/>
            </w:tcMar>
          </w:tcPr>
          <w:p>
            <w:pPr>
              <w:spacing w:after="0"/>
            </w:pPr>
            <w:r>
              <w:rPr>
                <w:rFonts w:ascii="Arial" w:hAnsi="Arial"/>
                <w:b w:val="0"/>
                <w:i w:val="0"/>
                <w:color w:val="111111"/>
                <w:sz w:val="18"/>
              </w:rPr>
              <w:t>Decision and scope</w:t>
            </w:r>
          </w:p>
        </w:tc>
      </w:tr>
      <w:tr>
        <w:trPr>
          <w:cantSplit/>
          <w:cantSplit/>
        </w:trPr>
        <w:tc>
          <w:tcPr>
            <w:tcW w:type="dxa" w:w="1300"/>
            <w:shd w:fill="FFFFFF"/>
            <w:vAlign w:val="top"/>
            <w:tcMar>
              <w:top w:w="90" w:type="dxa"/>
              <w:start w:w="120" w:type="dxa"/>
              <w:bottom w:w="90" w:type="dxa"/>
              <w:end w:w="120" w:type="dxa"/>
            </w:tcMar>
          </w:tcPr>
          <w:p>
            <w:pPr>
              <w:spacing w:after="0"/>
            </w:pPr>
            <w:r>
              <w:rPr>
                <w:rFonts w:ascii="Arial" w:hAnsi="Arial"/>
                <w:b/>
                <w:i w:val="0"/>
                <w:color w:val="111111"/>
                <w:sz w:val="18"/>
              </w:rPr>
              <w:t>02</w:t>
            </w:r>
          </w:p>
        </w:tc>
        <w:tc>
          <w:tcPr>
            <w:tcW w:type="dxa" w:w="8340"/>
            <w:shd w:fill="FFFFFF"/>
            <w:vAlign w:val="top"/>
            <w:tcMar>
              <w:top w:w="90" w:type="dxa"/>
              <w:start w:w="120" w:type="dxa"/>
              <w:bottom w:w="90" w:type="dxa"/>
              <w:end w:w="120" w:type="dxa"/>
            </w:tcMar>
          </w:tcPr>
          <w:p>
            <w:pPr>
              <w:spacing w:after="0"/>
            </w:pPr>
            <w:r>
              <w:rPr>
                <w:rFonts w:ascii="Arial" w:hAnsi="Arial"/>
                <w:b w:val="0"/>
                <w:i w:val="0"/>
                <w:color w:val="111111"/>
                <w:sz w:val="18"/>
              </w:rPr>
              <w:t>Business model and market</w:t>
            </w:r>
          </w:p>
        </w:tc>
      </w:tr>
      <w:tr>
        <w:trPr>
          <w:cantSplit/>
          <w:cantSplit/>
        </w:trPr>
        <w:tc>
          <w:tcPr>
            <w:tcW w:type="dxa" w:w="1300"/>
            <w:shd w:fill="F3F3F3"/>
            <w:vAlign w:val="top"/>
            <w:tcMar>
              <w:top w:w="90" w:type="dxa"/>
              <w:start w:w="120" w:type="dxa"/>
              <w:bottom w:w="90" w:type="dxa"/>
              <w:end w:w="120" w:type="dxa"/>
            </w:tcMar>
          </w:tcPr>
          <w:p>
            <w:pPr>
              <w:spacing w:after="0"/>
            </w:pPr>
            <w:r>
              <w:rPr>
                <w:rFonts w:ascii="Arial" w:hAnsi="Arial"/>
                <w:b/>
                <w:i w:val="0"/>
                <w:color w:val="111111"/>
                <w:sz w:val="18"/>
              </w:rPr>
              <w:t>03</w:t>
            </w:r>
          </w:p>
        </w:tc>
        <w:tc>
          <w:tcPr>
            <w:tcW w:type="dxa" w:w="8340"/>
            <w:shd w:fill="F3F3F3"/>
            <w:vAlign w:val="top"/>
            <w:tcMar>
              <w:top w:w="90" w:type="dxa"/>
              <w:start w:w="120" w:type="dxa"/>
              <w:bottom w:w="90" w:type="dxa"/>
              <w:end w:w="120" w:type="dxa"/>
            </w:tcMar>
          </w:tcPr>
          <w:p>
            <w:pPr>
              <w:spacing w:after="0"/>
            </w:pPr>
            <w:r>
              <w:rPr>
                <w:rFonts w:ascii="Arial" w:hAnsi="Arial"/>
                <w:b w:val="0"/>
                <w:i w:val="0"/>
                <w:color w:val="111111"/>
                <w:sz w:val="18"/>
              </w:rPr>
              <w:t>Commercial model, capital and returns</w:t>
            </w:r>
          </w:p>
        </w:tc>
      </w:tr>
      <w:tr>
        <w:trPr>
          <w:cantSplit/>
          <w:cantSplit/>
        </w:trPr>
        <w:tc>
          <w:tcPr>
            <w:tcW w:type="dxa" w:w="1300"/>
            <w:shd w:fill="FFFFFF"/>
            <w:vAlign w:val="top"/>
            <w:tcMar>
              <w:top w:w="90" w:type="dxa"/>
              <w:start w:w="120" w:type="dxa"/>
              <w:bottom w:w="90" w:type="dxa"/>
              <w:end w:w="120" w:type="dxa"/>
            </w:tcMar>
          </w:tcPr>
          <w:p>
            <w:pPr>
              <w:spacing w:after="0"/>
            </w:pPr>
            <w:r>
              <w:rPr>
                <w:rFonts w:ascii="Arial" w:hAnsi="Arial"/>
                <w:b/>
                <w:i w:val="0"/>
                <w:color w:val="111111"/>
                <w:sz w:val="18"/>
              </w:rPr>
              <w:t>04</w:t>
            </w:r>
          </w:p>
        </w:tc>
        <w:tc>
          <w:tcPr>
            <w:tcW w:type="dxa" w:w="8340"/>
            <w:shd w:fill="FFFFFF"/>
            <w:vAlign w:val="top"/>
            <w:tcMar>
              <w:top w:w="90" w:type="dxa"/>
              <w:start w:w="120" w:type="dxa"/>
              <w:bottom w:w="90" w:type="dxa"/>
              <w:end w:w="120" w:type="dxa"/>
            </w:tcMar>
          </w:tcPr>
          <w:p>
            <w:pPr>
              <w:spacing w:after="0"/>
            </w:pPr>
            <w:r>
              <w:rPr>
                <w:rFonts w:ascii="Arial" w:hAnsi="Arial"/>
                <w:b w:val="0"/>
                <w:i w:val="0"/>
                <w:color w:val="111111"/>
                <w:sz w:val="18"/>
              </w:rPr>
              <w:t>Operations, regulation and risks</w:t>
            </w:r>
          </w:p>
        </w:tc>
      </w:tr>
      <w:tr>
        <w:trPr>
          <w:cantSplit/>
          <w:cantSplit/>
        </w:trPr>
        <w:tc>
          <w:tcPr>
            <w:tcW w:type="dxa" w:w="1300"/>
            <w:shd w:fill="F3F3F3"/>
            <w:vAlign w:val="top"/>
            <w:tcMar>
              <w:top w:w="90" w:type="dxa"/>
              <w:start w:w="120" w:type="dxa"/>
              <w:bottom w:w="90" w:type="dxa"/>
              <w:end w:w="120" w:type="dxa"/>
            </w:tcMar>
          </w:tcPr>
          <w:p>
            <w:pPr>
              <w:spacing w:after="0"/>
            </w:pPr>
            <w:r>
              <w:rPr>
                <w:rFonts w:ascii="Arial" w:hAnsi="Arial"/>
                <w:b/>
                <w:i w:val="0"/>
                <w:color w:val="111111"/>
                <w:sz w:val="18"/>
              </w:rPr>
              <w:t>05</w:t>
            </w:r>
          </w:p>
        </w:tc>
        <w:tc>
          <w:tcPr>
            <w:tcW w:type="dxa" w:w="8340"/>
            <w:shd w:fill="F3F3F3"/>
            <w:vAlign w:val="top"/>
            <w:tcMar>
              <w:top w:w="90" w:type="dxa"/>
              <w:start w:w="120" w:type="dxa"/>
              <w:bottom w:w="90" w:type="dxa"/>
              <w:end w:w="120" w:type="dxa"/>
            </w:tcMar>
          </w:tcPr>
          <w:p>
            <w:pPr>
              <w:spacing w:after="0"/>
            </w:pPr>
            <w:r>
              <w:rPr>
                <w:rFonts w:ascii="Arial" w:hAnsi="Arial"/>
                <w:b w:val="0"/>
                <w:i w:val="0"/>
                <w:color w:val="111111"/>
                <w:sz w:val="18"/>
              </w:rPr>
              <w:t>Diligence, conflicts and evidence register</w:t>
            </w:r>
          </w:p>
        </w:tc>
      </w:tr>
    </w:tbl>
    <w:p>
      <w:pPr>
        <w:spacing w:after="40"/>
      </w:pPr>
    </w:p>
    <w:p>
      <w:pPr>
        <w:keepNext w:val="0"/>
        <w:spacing w:after="120"/>
      </w:pPr>
      <w:r>
        <w:rPr>
          <w:rFonts w:ascii="Arial" w:hAnsi="Arial"/>
          <w:b w:val="0"/>
          <w:i w:val="0"/>
          <w:color w:val="555555"/>
          <w:sz w:val="18"/>
        </w:rPr>
        <w:t>Use Word's navigation pane to move through the heading hierarchy. Every material figure is repeated in the claim register with its evidence classification and source reference.</w:t>
      </w:r>
    </w:p>
    <w:p>
      <w:pPr>
        <w:pStyle w:val="Heading1"/>
      </w:pPr>
      <w:r>
        <w:t>Executive summary</w:t>
      </w:r>
    </w:p>
    <w:p>
      <w:pPr>
        <w:keepNext w:val="0"/>
        <w:spacing w:after="200"/>
      </w:pPr>
      <w:r>
        <w:rPr>
          <w:rFonts w:ascii="Arial" w:hAnsi="Arial"/>
          <w:b w:val="0"/>
          <w:i w:val="0"/>
          <w:color w:val="111111"/>
          <w:sz w:val="22"/>
        </w:rPr>
        <w:t>KLIGO is an Israel-first construction marketplace. The product should prove local liquidity with a concierge-supported pilot before committing to broad software development or international expansion.</w:t>
      </w:r>
    </w:p>
    <w:tbl>
      <w:tblPr>
        <w:tblStyle w:val="TableGrid"/>
        <w:tblW w:type="dxa" w:w="9640"/>
        <w:jc w:val="left"/>
        <w:tblLayout w:type="fixed"/>
        <w:tblLook w:firstColumn="1" w:firstRow="1" w:lastColumn="0" w:lastRow="0" w:noHBand="0" w:noVBand="1" w:val="04A0"/>
        <w:tblInd w:w="0" w:type="dxa"/>
      </w:tblPr>
      <w:tblGrid>
        <w:gridCol w:w="2410"/>
        <w:gridCol w:w="2410"/>
        <w:gridCol w:w="2410"/>
        <w:gridCol w:w="2410"/>
      </w:tblGrid>
      <w:tr>
        <w:trPr>
          <w:cantSplit/>
        </w:trPr>
        <w:tc>
          <w:tcPr>
            <w:tcW w:type="dxa" w:w="2410"/>
            <w:shd w:fill="F3F3F3"/>
            <w:tcMar>
              <w:top w:w="90" w:type="dxa"/>
              <w:start w:w="120" w:type="dxa"/>
              <w:bottom w:w="90" w:type="dxa"/>
              <w:end w:w="120" w:type="dxa"/>
            </w:tcMar>
          </w:tcPr>
          <w:p>
            <w:pPr>
              <w:spacing w:after="60"/>
            </w:pPr>
            <w:r>
              <w:rPr>
                <w:rFonts w:ascii="Arial" w:hAnsi="Arial"/>
                <w:b/>
                <w:i w:val="0"/>
                <w:color w:val="111111"/>
                <w:sz w:val="30"/>
              </w:rPr>
              <w:t>70436</w:t>
            </w:r>
          </w:p>
          <w:p>
            <w:pPr>
              <w:spacing w:after="0"/>
            </w:pPr>
            <w:r>
              <w:rPr>
                <w:rFonts w:ascii="Arial" w:hAnsi="Arial"/>
                <w:b/>
                <w:i w:val="0"/>
                <w:color w:val="555555"/>
                <w:sz w:val="14"/>
              </w:rPr>
              <w:t>Active construction businesses</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NIS 10.1B</w:t>
            </w:r>
          </w:p>
          <w:p>
            <w:pPr>
              <w:spacing w:after="0"/>
            </w:pPr>
            <w:r>
              <w:rPr>
                <w:rFonts w:ascii="Arial" w:hAnsi="Arial"/>
                <w:b/>
                <w:i w:val="0"/>
                <w:color w:val="555555"/>
                <w:sz w:val="14"/>
              </w:rPr>
              <w:t>Base TAM GMV</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NIS 1.5B</w:t>
            </w:r>
          </w:p>
          <w:p>
            <w:pPr>
              <w:spacing w:after="0"/>
            </w:pPr>
            <w:r>
              <w:rPr>
                <w:rFonts w:ascii="Arial" w:hAnsi="Arial"/>
                <w:b/>
                <w:i w:val="0"/>
                <w:color w:val="555555"/>
                <w:sz w:val="14"/>
              </w:rPr>
              <w:t>Base SAM GMV</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NIS 75-120M</w:t>
            </w:r>
          </w:p>
          <w:p>
            <w:pPr>
              <w:spacing w:after="0"/>
            </w:pPr>
            <w:r>
              <w:rPr>
                <w:rFonts w:ascii="Arial" w:hAnsi="Arial"/>
                <w:b/>
                <w:i w:val="0"/>
                <w:color w:val="555555"/>
                <w:sz w:val="14"/>
              </w:rPr>
              <w:t>SOM GMV</w:t>
            </w:r>
          </w:p>
        </w:tc>
      </w:tr>
    </w:tbl>
    <w:p>
      <w:pPr>
        <w:spacing w:after="60"/>
      </w:pPr>
    </w:p>
    <w:tbl>
      <w:tblPr>
        <w:tblStyle w:val="TableGrid"/>
        <w:tblW w:type="dxa" w:w="9640"/>
        <w:tblLayout w:type="fixed"/>
        <w:tblLook w:firstColumn="1" w:firstRow="1" w:lastColumn="0" w:lastRow="0" w:noHBand="0" w:noVBand="1" w:val="04A0"/>
        <w:jc w:val="left"/>
        <w:tblInd w:w="0" w:type="dxa"/>
      </w:tblPr>
      <w:tblGrid>
        <w:gridCol w:w="2300"/>
        <w:gridCol w:w="7340"/>
      </w:tblGrid>
      <w:tr>
        <w:trPr>
          <w:cantSplit/>
          <w:tblHeader w:val="true"/>
          <w:cantSplit/>
        </w:trPr>
        <w:tc>
          <w:tcPr>
            <w:tcW w:type="dxa" w:w="2300"/>
            <w:tcMar>
              <w:top w:w="90" w:type="dxa"/>
              <w:start w:w="120" w:type="dxa"/>
              <w:bottom w:w="90" w:type="dxa"/>
              <w:end w:w="120" w:type="dxa"/>
            </w:tcMar>
            <w:shd w:fill="111111"/>
            <w:vAlign w:val="center"/>
          </w:tcPr>
          <w:p>
            <w:pPr>
              <w:spacing w:after="0"/>
            </w:pPr>
            <w:r>
              <w:rPr>
                <w:rFonts w:ascii="Arial" w:hAnsi="Arial"/>
                <w:b/>
                <w:i w:val="0"/>
                <w:color w:val="FFFFFF"/>
                <w:sz w:val="17"/>
              </w:rPr>
              <w:t>DECISION ITEM</w:t>
            </w:r>
          </w:p>
        </w:tc>
        <w:tc>
          <w:tcPr>
            <w:tcW w:type="dxa" w:w="7340"/>
            <w:tcMar>
              <w:top w:w="90" w:type="dxa"/>
              <w:start w:w="120" w:type="dxa"/>
              <w:bottom w:w="90" w:type="dxa"/>
              <w:end w:w="120" w:type="dxa"/>
            </w:tcMar>
            <w:shd w:fill="111111"/>
            <w:vAlign w:val="center"/>
          </w:tcPr>
          <w:p>
            <w:pPr>
              <w:spacing w:after="0"/>
            </w:pPr>
            <w:r>
              <w:rPr>
                <w:rFonts w:ascii="Arial" w:hAnsi="Arial"/>
                <w:b/>
                <w:i w:val="0"/>
                <w:color w:val="FFFFFF"/>
                <w:sz w:val="17"/>
              </w:rPr>
              <w:t>LOCKED POSITION</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7"/>
              </w:rPr>
              <w:t>Decision</w:t>
            </w:r>
          </w:p>
        </w:tc>
        <w:tc>
          <w:tcPr>
            <w:tcW w:type="dxa" w:w="7340"/>
            <w:shd w:fill="F3F3F3"/>
            <w:vAlign w:val="top"/>
            <w:tcMar>
              <w:top w:w="90" w:type="dxa"/>
              <w:start w:w="120" w:type="dxa"/>
              <w:bottom w:w="90" w:type="dxa"/>
              <w:end w:w="120" w:type="dxa"/>
            </w:tcMar>
          </w:tcPr>
          <w:p>
            <w:pPr>
              <w:spacing w:after="0"/>
            </w:pPr>
            <w:r>
              <w:rPr>
                <w:rFonts w:ascii="Arial" w:hAnsi="Arial"/>
                <w:b w:val="0"/>
                <w:i w:val="0"/>
                <w:color w:val="111111"/>
                <w:sz w:val="17"/>
              </w:rPr>
              <w:t>CONDITIONAL GO - validation first</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7"/>
              </w:rPr>
              <w:t>Preferred model</w:t>
            </w:r>
          </w:p>
        </w:tc>
        <w:tc>
          <w:tcPr>
            <w:tcW w:type="dxa" w:w="7340"/>
            <w:shd w:fill="FFFFFF"/>
            <w:vAlign w:val="top"/>
            <w:tcMar>
              <w:top w:w="90" w:type="dxa"/>
              <w:start w:w="120" w:type="dxa"/>
              <w:bottom w:w="90" w:type="dxa"/>
              <w:end w:w="120" w:type="dxa"/>
            </w:tcMar>
          </w:tcPr>
          <w:p>
            <w:pPr>
              <w:spacing w:after="0"/>
            </w:pPr>
            <w:r>
              <w:rPr>
                <w:rFonts w:ascii="Arial" w:hAnsi="Arial"/>
                <w:b w:val="0"/>
                <w:i w:val="0"/>
                <w:color w:val="111111"/>
                <w:sz w:val="17"/>
              </w:rPr>
              <w:t>Launch a narrow, concierge-supported marketplace pilot in Gush Dan and the Central District before scaling software or geography.</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7"/>
              </w:rPr>
              <w:t>Gate before commitment</w:t>
            </w:r>
          </w:p>
        </w:tc>
        <w:tc>
          <w:tcPr>
            <w:tcW w:type="dxa" w:w="7340"/>
            <w:shd w:fill="F3F3F3"/>
            <w:vAlign w:val="top"/>
            <w:tcMar>
              <w:top w:w="90" w:type="dxa"/>
              <w:start w:w="120" w:type="dxa"/>
              <w:bottom w:w="90" w:type="dxa"/>
              <w:end w:w="120" w:type="dxa"/>
            </w:tcMar>
          </w:tcPr>
          <w:p>
            <w:pPr>
              <w:spacing w:after="0"/>
            </w:pPr>
            <w:r>
              <w:rPr>
                <w:rFonts w:ascii="Arial" w:hAnsi="Arial"/>
                <w:b w:val="0"/>
                <w:i w:val="0"/>
                <w:color w:val="111111"/>
                <w:sz w:val="17"/>
              </w:rPr>
              <w:t>Provider density, response time, two-quote coverage, conversion and repeat usage must clear the 90-day pilot gates.</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7"/>
              </w:rPr>
              <w:t>Source status</w:t>
            </w:r>
          </w:p>
        </w:tc>
        <w:tc>
          <w:tcPr>
            <w:tcW w:type="dxa" w:w="7340"/>
            <w:shd w:fill="FFFFFF"/>
            <w:vAlign w:val="top"/>
            <w:tcMar>
              <w:top w:w="90" w:type="dxa"/>
              <w:start w:w="120" w:type="dxa"/>
              <w:bottom w:w="90" w:type="dxa"/>
              <w:end w:w="120" w:type="dxa"/>
            </w:tcMar>
          </w:tcPr>
          <w:p>
            <w:pPr>
              <w:spacing w:after="0"/>
            </w:pPr>
            <w:r>
              <w:rPr>
                <w:rFonts w:ascii="Arial" w:hAnsi="Arial"/>
                <w:b w:val="0"/>
                <w:i w:val="0"/>
                <w:color w:val="111111"/>
                <w:sz w:val="17"/>
              </w:rPr>
              <w:t>Market research, product roadmap and brand guide available; formal consolidated research PDF/DOCX pending.</w:t>
            </w:r>
          </w:p>
        </w:tc>
      </w:tr>
    </w:tbl>
    <w:p>
      <w:pPr>
        <w:spacing w:after="40"/>
      </w:pPr>
    </w:p>
    <w:p>
      <w:pPr>
        <w:pStyle w:val="Heading2"/>
      </w:pPr>
      <w:r>
        <w:t>Principal advantages</w:t>
      </w:r>
    </w:p>
    <w:p>
      <w:pPr>
        <w:pStyle w:val="ListBullet"/>
      </w:pPr>
      <w:r>
        <w:t>Israel-first B2B construction marketplace; prove liquidity before scale.</w:t>
      </w:r>
    </w:p>
    <w:p>
      <w:pPr>
        <w:pStyle w:val="ListBullet"/>
      </w:pPr>
      <w:r>
        <w:t>Launch in Gush Dan and the Central District. Geographic expansion is conditional on pilot performance.</w:t>
      </w:r>
    </w:p>
    <w:p>
      <w:pPr>
        <w:pStyle w:val="ListBullet"/>
      </w:pPr>
      <w:r>
        <w:t>The selected entry model is: Launch a narrow, concierge-supported marketplace pilot in Gush Dan and the Central District before scaling software or geography.</w:t>
      </w:r>
    </w:p>
    <w:p>
      <w:pPr>
        <w:pStyle w:val="Heading2"/>
      </w:pPr>
      <w:r>
        <w:t>Principal weaknesses</w:t>
      </w:r>
    </w:p>
    <w:p>
      <w:pPr>
        <w:pStyle w:val="ListBullet"/>
      </w:pPr>
      <w:r>
        <w:t>Insufficient provider density</w:t>
      </w:r>
    </w:p>
    <w:p>
      <w:pPr>
        <w:pStyle w:val="ListBullet"/>
      </w:pPr>
      <w:r>
        <w:t>Low response or booking conversion</w:t>
      </w:r>
    </w:p>
    <w:p>
      <w:pPr>
        <w:pStyle w:val="ListBullet"/>
      </w:pPr>
      <w:r>
        <w:t>Weak buyer repeat use</w:t>
      </w:r>
    </w:p>
    <w:p>
      <w:pPr>
        <w:pStyle w:val="ListBullet"/>
      </w:pPr>
      <w:r>
        <w:t>Scaling software before marketplace liquidity is proven</w:t>
      </w:r>
    </w:p>
    <w:p>
      <w:r>
        <w:br w:type="page"/>
      </w:r>
    </w:p>
    <w:p>
      <w:pPr>
        <w:pStyle w:val="Heading1"/>
      </w:pPr>
      <w:r>
        <w:t>Research scope and business model</w:t>
      </w:r>
    </w:p>
    <w:p>
      <w:pPr>
        <w:keepNext w:val="0"/>
        <w:spacing w:after="120"/>
      </w:pPr>
      <w:r>
        <w:rPr>
          <w:rFonts w:ascii="Arial" w:hAnsi="Arial"/>
          <w:b w:val="0"/>
          <w:i w:val="0"/>
          <w:color w:val="111111"/>
          <w:sz w:val="20"/>
        </w:rPr>
        <w:t>This report formalises the locked decision case for KLIGO. It preserves the current evidence boundary and identifies the commercial proof required before commitment.</w:t>
      </w:r>
    </w:p>
    <w:p>
      <w:pPr>
        <w:pStyle w:val="Heading2"/>
      </w:pPr>
      <w:r>
        <w:t>Customer groups</w:t>
      </w:r>
    </w:p>
    <w:p>
      <w:pPr>
        <w:pStyle w:val="ListBullet"/>
      </w:pPr>
      <w:r>
        <w:t>Contractors and construction buyers posting requests</w:t>
      </w:r>
    </w:p>
    <w:p>
      <w:pPr>
        <w:pStyle w:val="ListBullet"/>
      </w:pPr>
      <w:r>
        <w:t>Equipment owners and rental companies</w:t>
      </w:r>
    </w:p>
    <w:p>
      <w:pPr>
        <w:pStyle w:val="ListBullet"/>
      </w:pPr>
      <w:r>
        <w:t>Subcontractors and service providers</w:t>
      </w:r>
    </w:p>
    <w:p>
      <w:pPr>
        <w:pStyle w:val="ListBullet"/>
      </w:pPr>
      <w:r>
        <w:t>Construction businesses seeking verified demand</w:t>
      </w:r>
    </w:p>
    <w:p>
      <w:pPr>
        <w:pStyle w:val="Heading2"/>
      </w:pPr>
      <w:r>
        <w:t>Products or operating segments</w:t>
      </w:r>
    </w:p>
    <w:p>
      <w:pPr>
        <w:pStyle w:val="ListBullet"/>
      </w:pPr>
      <w:r>
        <w:t>Equipment rental</w:t>
      </w:r>
    </w:p>
    <w:p>
      <w:pPr>
        <w:pStyle w:val="ListBullet"/>
      </w:pPr>
      <w:r>
        <w:t>Contractor and service matching</w:t>
      </w:r>
    </w:p>
    <w:p>
      <w:pPr>
        <w:pStyle w:val="ListBullet"/>
      </w:pPr>
      <w:r>
        <w:t>Project and job requests</w:t>
      </w:r>
    </w:p>
    <w:p>
      <w:pPr>
        <w:pStyle w:val="ListBullet"/>
      </w:pPr>
      <w:r>
        <w:t>Verified provider discovery</w:t>
      </w:r>
    </w:p>
    <w:p>
      <w:pPr>
        <w:pStyle w:val="Heading2"/>
      </w:pPr>
      <w:r>
        <w:t>Revenue model</w:t>
      </w:r>
    </w:p>
    <w:p>
      <w:pPr>
        <w:pStyle w:val="ListBullet"/>
      </w:pPr>
      <w:r>
        <w:t>Transaction commissions</w:t>
      </w:r>
    </w:p>
    <w:p>
      <w:pPr>
        <w:pStyle w:val="ListBullet"/>
      </w:pPr>
      <w:r>
        <w:t>Provider subscriptions or premium visibility</w:t>
      </w:r>
    </w:p>
    <w:p>
      <w:pPr>
        <w:pStyle w:val="ListBullet"/>
      </w:pPr>
      <w:r>
        <w:t>Lead or booking fees where validated</w:t>
      </w:r>
    </w:p>
    <w:p>
      <w:pPr>
        <w:pStyle w:val="ListBullet"/>
      </w:pPr>
      <w:r>
        <w:t>Future ancillary services only after marketplace liquidity</w:t>
      </w:r>
    </w:p>
    <w:p>
      <w:pPr>
        <w:pStyle w:val="Heading2"/>
      </w:pPr>
      <w:r>
        <w:t>Preferred entry model</w:t>
      </w:r>
    </w:p>
    <w:p>
      <w:pPr>
        <w:keepNext w:val="0"/>
        <w:spacing w:after="120"/>
      </w:pPr>
      <w:r>
        <w:rPr>
          <w:rFonts w:ascii="Arial" w:hAnsi="Arial"/>
          <w:b w:val="0"/>
          <w:i w:val="0"/>
          <w:color w:val="111111"/>
          <w:sz w:val="20"/>
        </w:rPr>
        <w:t>Launch a narrow, concierge-supported marketplace pilot in Gush Dan and the Central District before scaling software or geography.</w:t>
      </w:r>
    </w:p>
    <w:p>
      <w:pPr>
        <w:pStyle w:val="Heading2"/>
      </w:pPr>
      <w:r>
        <w:t>Location logic</w:t>
      </w:r>
    </w:p>
    <w:p>
      <w:pPr>
        <w:keepNext w:val="0"/>
        <w:spacing w:after="120"/>
      </w:pPr>
      <w:r>
        <w:rPr>
          <w:rFonts w:ascii="Arial" w:hAnsi="Arial"/>
          <w:b w:val="0"/>
          <w:i w:val="0"/>
          <w:color w:val="111111"/>
          <w:sz w:val="20"/>
        </w:rPr>
        <w:t>Launch in Gush Dan and the Central District. Geographic expansion is conditional on pilot performance.</w:t>
      </w:r>
    </w:p>
    <w:p>
      <w:pPr>
        <w:pStyle w:val="Heading1"/>
      </w:pPr>
      <w:r>
        <w:t>Market and demand</w:t>
      </w:r>
    </w:p>
    <w:p>
      <w:pPr>
        <w:keepNext w:val="0"/>
        <w:spacing w:after="80"/>
      </w:pPr>
      <w:r>
        <w:rPr>
          <w:rFonts w:ascii="Arial" w:hAnsi="Arial"/>
          <w:b w:val="0"/>
          <w:i w:val="0"/>
          <w:color w:val="111111"/>
          <w:sz w:val="19"/>
        </w:rPr>
        <w:t>70,436 active construction businesses in the research baseline.</w:t>
      </w:r>
    </w:p>
    <w:p>
      <w:pPr>
        <w:keepNext w:val="0"/>
        <w:spacing w:after="80"/>
      </w:pPr>
      <w:r>
        <w:rPr>
          <w:rFonts w:ascii="Arial" w:hAnsi="Arial"/>
          <w:b w:val="0"/>
          <w:i w:val="0"/>
          <w:color w:val="111111"/>
          <w:sz w:val="19"/>
        </w:rPr>
        <w:t>Base model TAM: NIS10.1B annual GMV.</w:t>
      </w:r>
    </w:p>
    <w:p>
      <w:pPr>
        <w:keepNext w:val="0"/>
        <w:spacing w:after="80"/>
      </w:pPr>
      <w:r>
        <w:rPr>
          <w:rFonts w:ascii="Arial" w:hAnsi="Arial"/>
          <w:b w:val="0"/>
          <w:i w:val="0"/>
          <w:color w:val="111111"/>
          <w:sz w:val="19"/>
        </w:rPr>
        <w:t>Base model launch SAM: NIS1.5B annual GMV.</w:t>
      </w:r>
    </w:p>
    <w:p>
      <w:pPr>
        <w:keepNext w:val="0"/>
        <w:spacing w:after="80"/>
      </w:pPr>
      <w:r>
        <w:rPr>
          <w:rFonts w:ascii="Arial" w:hAnsi="Arial"/>
          <w:b w:val="0"/>
          <w:i w:val="0"/>
          <w:color w:val="111111"/>
          <w:sz w:val="19"/>
        </w:rPr>
        <w:t>Modelled Year 3-5 obtainable GMV: NIS75-120M annually.</w:t>
      </w:r>
    </w:p>
    <w:p>
      <w:pPr>
        <w:pStyle w:val="Heading2"/>
      </w:pPr>
      <w:r>
        <w:t>Competition and positioning</w:t>
      </w:r>
    </w:p>
    <w:p>
      <w:pPr>
        <w:keepNext w:val="0"/>
        <w:spacing w:after="120"/>
      </w:pPr>
      <w:r>
        <w:rPr>
          <w:rFonts w:ascii="Arial" w:hAnsi="Arial"/>
          <w:b w:val="0"/>
          <w:i w:val="0"/>
          <w:color w:val="111111"/>
          <w:sz w:val="20"/>
        </w:rPr>
        <w:t>A complete live competitor, pricing and capacity schedule is not contained in the controlling register. Competitive positioning must therefore be validated against current operators, current assets and current customer quotations before commitment.</w:t>
      </w:r>
    </w:p>
    <w:p>
      <w:r>
        <w:br w:type="page"/>
      </w:r>
    </w:p>
    <w:p>
      <w:pPr>
        <w:pStyle w:val="Heading1"/>
      </w:pPr>
      <w:r>
        <w:t>Pricing, revenue, CAPEX and returns</w:t>
      </w:r>
    </w:p>
    <w:tbl>
      <w:tblPr>
        <w:tblStyle w:val="TableGrid"/>
        <w:tblW w:type="dxa" w:w="9640"/>
        <w:tblLayout w:type="fixed"/>
        <w:tblLook w:firstColumn="1" w:firstRow="1" w:lastColumn="0" w:lastRow="0" w:noHBand="0" w:noVBand="1" w:val="04A0"/>
        <w:jc w:val="left"/>
        <w:tblInd w:w="0" w:type="dxa"/>
      </w:tblPr>
      <w:tblGrid>
        <w:gridCol w:w="2300"/>
        <w:gridCol w:w="1450"/>
        <w:gridCol w:w="1100"/>
        <w:gridCol w:w="1450"/>
        <w:gridCol w:w="2300"/>
        <w:gridCol w:w="1040"/>
      </w:tblGrid>
      <w:tr>
        <w:trPr>
          <w:cantSplit/>
          <w:tblHeader w:val="true"/>
          <w:cantSplit/>
        </w:trPr>
        <w:tc>
          <w:tcPr>
            <w:tcW w:type="dxa" w:w="2300"/>
            <w:tcMar>
              <w:top w:w="90" w:type="dxa"/>
              <w:start w:w="120" w:type="dxa"/>
              <w:bottom w:w="90" w:type="dxa"/>
              <w:end w:w="120" w:type="dxa"/>
            </w:tcMar>
            <w:shd w:fill="111111"/>
            <w:vAlign w:val="center"/>
          </w:tcPr>
          <w:p>
            <w:pPr>
              <w:spacing w:after="0"/>
            </w:pPr>
            <w:r>
              <w:rPr>
                <w:rFonts w:ascii="Arial" w:hAnsi="Arial"/>
                <w:b/>
                <w:i w:val="0"/>
                <w:color w:val="FFFFFF"/>
                <w:sz w:val="14"/>
              </w:rPr>
              <w:t>METRIC</w:t>
            </w:r>
          </w:p>
        </w:tc>
        <w:tc>
          <w:tcPr>
            <w:tcW w:type="dxa" w:w="1450"/>
            <w:tcMar>
              <w:top w:w="90" w:type="dxa"/>
              <w:start w:w="120" w:type="dxa"/>
              <w:bottom w:w="90" w:type="dxa"/>
              <w:end w:w="120" w:type="dxa"/>
            </w:tcMar>
            <w:shd w:fill="111111"/>
            <w:vAlign w:val="center"/>
          </w:tcPr>
          <w:p>
            <w:pPr>
              <w:spacing w:after="0"/>
            </w:pPr>
            <w:r>
              <w:rPr>
                <w:rFonts w:ascii="Arial" w:hAnsi="Arial"/>
                <w:b/>
                <w:i w:val="0"/>
                <w:color w:val="FFFFFF"/>
                <w:sz w:val="14"/>
              </w:rPr>
              <w:t>VALUE</w:t>
            </w:r>
          </w:p>
        </w:tc>
        <w:tc>
          <w:tcPr>
            <w:tcW w:type="dxa" w:w="1100"/>
            <w:tcMar>
              <w:top w:w="90" w:type="dxa"/>
              <w:start w:w="120" w:type="dxa"/>
              <w:bottom w:w="90" w:type="dxa"/>
              <w:end w:w="120" w:type="dxa"/>
            </w:tcMar>
            <w:shd w:fill="111111"/>
            <w:vAlign w:val="center"/>
          </w:tcPr>
          <w:p>
            <w:pPr>
              <w:spacing w:after="0"/>
            </w:pPr>
            <w:r>
              <w:rPr>
                <w:rFonts w:ascii="Arial" w:hAnsi="Arial"/>
                <w:b/>
                <w:i w:val="0"/>
                <w:color w:val="FFFFFF"/>
                <w:sz w:val="14"/>
              </w:rPr>
              <w:t>UNIT</w:t>
            </w:r>
          </w:p>
        </w:tc>
        <w:tc>
          <w:tcPr>
            <w:tcW w:type="dxa" w:w="1450"/>
            <w:tcMar>
              <w:top w:w="90" w:type="dxa"/>
              <w:start w:w="120" w:type="dxa"/>
              <w:bottom w:w="90" w:type="dxa"/>
              <w:end w:w="120" w:type="dxa"/>
            </w:tcMar>
            <w:shd w:fill="111111"/>
            <w:vAlign w:val="center"/>
          </w:tcPr>
          <w:p>
            <w:pPr>
              <w:spacing w:after="0"/>
            </w:pPr>
            <w:r>
              <w:rPr>
                <w:rFonts w:ascii="Arial" w:hAnsi="Arial"/>
                <w:b/>
                <w:i w:val="0"/>
                <w:color w:val="FFFFFF"/>
                <w:sz w:val="14"/>
              </w:rPr>
              <w:t>PERIOD</w:t>
            </w:r>
          </w:p>
        </w:tc>
        <w:tc>
          <w:tcPr>
            <w:tcW w:type="dxa" w:w="2300"/>
            <w:tcMar>
              <w:top w:w="90" w:type="dxa"/>
              <w:start w:w="120" w:type="dxa"/>
              <w:bottom w:w="90" w:type="dxa"/>
              <w:end w:w="120" w:type="dxa"/>
            </w:tcMar>
            <w:shd w:fill="111111"/>
            <w:vAlign w:val="center"/>
          </w:tcPr>
          <w:p>
            <w:pPr>
              <w:spacing w:after="0"/>
            </w:pPr>
            <w:r>
              <w:rPr>
                <w:rFonts w:ascii="Arial" w:hAnsi="Arial"/>
                <w:b/>
                <w:i w:val="0"/>
                <w:color w:val="FFFFFF"/>
                <w:sz w:val="14"/>
              </w:rPr>
              <w:t>EVIDENCE</w:t>
            </w:r>
          </w:p>
        </w:tc>
        <w:tc>
          <w:tcPr>
            <w:tcW w:type="dxa" w:w="1040"/>
            <w:tcMar>
              <w:top w:w="90" w:type="dxa"/>
              <w:start w:w="120" w:type="dxa"/>
              <w:bottom w:w="90" w:type="dxa"/>
              <w:end w:w="120" w:type="dxa"/>
            </w:tcMar>
            <w:shd w:fill="111111"/>
            <w:vAlign w:val="center"/>
          </w:tcPr>
          <w:p>
            <w:pPr>
              <w:spacing w:after="0"/>
            </w:pPr>
            <w:r>
              <w:rPr>
                <w:rFonts w:ascii="Arial" w:hAnsi="Arial"/>
                <w:b/>
                <w:i w:val="0"/>
                <w:color w:val="FFFFFF"/>
                <w:sz w:val="14"/>
              </w:rPr>
              <w:t>SOURCE</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Base annual revenue</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NIS 6.62M</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NIS/year</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Year 3-5 planning</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S07</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4"/>
              </w:rPr>
              <w:t>Verified providers</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75-100</w:t>
            </w:r>
          </w:p>
        </w:tc>
        <w:tc>
          <w:tcPr>
            <w:tcW w:type="dxa" w:w="1100"/>
            <w:shd w:fill="FFFFFF"/>
            <w:vAlign w:val="top"/>
            <w:tcMar>
              <w:top w:w="90" w:type="dxa"/>
              <w:start w:w="120" w:type="dxa"/>
              <w:bottom w:w="90" w:type="dxa"/>
              <w:end w:w="120" w:type="dxa"/>
            </w:tcMar>
          </w:tcPr>
          <w:p>
            <w:pPr>
              <w:spacing w:after="0"/>
            </w:pPr>
            <w:r>
              <w:rPr>
                <w:rFonts w:ascii="Arial" w:hAnsi="Arial"/>
                <w:b w:val="0"/>
                <w:i w:val="0"/>
                <w:color w:val="111111"/>
                <w:sz w:val="14"/>
              </w:rPr>
              <w:t>providers</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90-day pilot</w:t>
            </w:r>
          </w:p>
        </w:tc>
        <w:tc>
          <w:tcPr>
            <w:tcW w:type="dxa" w:w="23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FFFFF"/>
            <w:vAlign w:val="top"/>
            <w:tcMar>
              <w:top w:w="90" w:type="dxa"/>
              <w:start w:w="120" w:type="dxa"/>
              <w:bottom w:w="90" w:type="dxa"/>
              <w:end w:w="120" w:type="dxa"/>
            </w:tcMar>
          </w:tcPr>
          <w:p>
            <w:pPr>
              <w:spacing w:after="0"/>
            </w:pPr>
            <w:r>
              <w:rPr>
                <w:rFonts w:ascii="Arial" w:hAnsi="Arial"/>
                <w:b w:val="0"/>
                <w:i w:val="0"/>
                <w:color w:val="111111"/>
                <w:sz w:val="14"/>
              </w:rPr>
              <w:t>S07</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RFQ-to-booking conversion</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at least 20%</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90-day pilot</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S07</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4"/>
              </w:rPr>
              <w:t>60-day buyer repeat</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at least 25%</w:t>
            </w:r>
          </w:p>
        </w:tc>
        <w:tc>
          <w:tcPr>
            <w:tcW w:type="dxa" w:w="1100"/>
            <w:shd w:fill="FFFFFF"/>
            <w:vAlign w:val="top"/>
            <w:tcMar>
              <w:top w:w="90" w:type="dxa"/>
              <w:start w:w="120" w:type="dxa"/>
              <w:bottom w:w="90" w:type="dxa"/>
              <w:end w:w="120" w:type="dxa"/>
            </w:tcMar>
          </w:tcPr>
          <w:p>
            <w:pPr>
              <w:spacing w:after="0"/>
            </w:pPr>
            <w:r>
              <w:rPr>
                <w:rFonts w:ascii="Arial" w:hAnsi="Arial"/>
                <w:b w:val="0"/>
                <w:i w:val="0"/>
                <w:color w:val="111111"/>
                <w:sz w:val="14"/>
              </w:rPr>
              <w:t>%</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90-day pilot</w:t>
            </w:r>
          </w:p>
        </w:tc>
        <w:tc>
          <w:tcPr>
            <w:tcW w:type="dxa" w:w="23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FFFFF"/>
            <w:vAlign w:val="top"/>
            <w:tcMar>
              <w:top w:w="90" w:type="dxa"/>
              <w:start w:w="120" w:type="dxa"/>
              <w:bottom w:w="90" w:type="dxa"/>
              <w:end w:w="120" w:type="dxa"/>
            </w:tcMar>
          </w:tcPr>
          <w:p>
            <w:pPr>
              <w:spacing w:after="0"/>
            </w:pPr>
            <w:r>
              <w:rPr>
                <w:rFonts w:ascii="Arial" w:hAnsi="Arial"/>
                <w:b w:val="0"/>
                <w:i w:val="0"/>
                <w:color w:val="111111"/>
                <w:sz w:val="14"/>
              </w:rPr>
              <w:t>S07</w:t>
            </w:r>
          </w:p>
        </w:tc>
      </w:tr>
    </w:tbl>
    <w:p>
      <w:pPr>
        <w:spacing w:after="40"/>
      </w:pPr>
    </w:p>
    <w:p>
      <w:pPr>
        <w:keepNext w:val="0"/>
        <w:spacing w:after="120"/>
      </w:pPr>
      <w:r>
        <w:rPr>
          <w:rFonts w:ascii="Arial" w:hAnsi="Arial"/>
          <w:b w:val="0"/>
          <w:i/>
          <w:color w:val="555555"/>
          <w:sz w:val="17"/>
        </w:rPr>
        <w:t>All model outputs remain conditional on the underlying transaction, quotation or operating assumptions. No modelled return is a guaranteed result.</w:t>
      </w:r>
    </w:p>
    <w:p>
      <w:pPr>
        <w:pStyle w:val="Heading2"/>
      </w:pPr>
      <w:r>
        <w:t>Revenue drivers</w:t>
      </w:r>
    </w:p>
    <w:p>
      <w:pPr>
        <w:pStyle w:val="ListBullet"/>
      </w:pPr>
      <w:r>
        <w:t>Base model TAM: NIS10.1B annual GMV.</w:t>
      </w:r>
    </w:p>
    <w:p>
      <w:pPr>
        <w:pStyle w:val="ListBullet"/>
      </w:pPr>
      <w:r>
        <w:t>Base model launch SAM: NIS1.5B annual GMV.</w:t>
      </w:r>
    </w:p>
    <w:p>
      <w:pPr>
        <w:pStyle w:val="ListBullet"/>
      </w:pPr>
      <w:r>
        <w:t>Modelled Year 3-5 obtainable GMV: NIS75-120M annually.</w:t>
      </w:r>
    </w:p>
    <w:p>
      <w:pPr>
        <w:pStyle w:val="ListBullet"/>
      </w:pPr>
      <w:r>
        <w:t>Base Year 3-5 annual revenue model: NIS6.62M.</w:t>
      </w:r>
    </w:p>
    <w:p>
      <w:pPr>
        <w:pStyle w:val="Heading2"/>
      </w:pPr>
      <w:r>
        <w:t>Cost and return limitations</w:t>
      </w:r>
    </w:p>
    <w:p>
      <w:pPr>
        <w:pStyle w:val="ListBullet"/>
      </w:pPr>
      <w:r>
        <w:t>Planning model; range NIS5.2-17.6B.</w:t>
      </w:r>
    </w:p>
    <w:p>
      <w:pPr>
        <w:pStyle w:val="ListBullet"/>
      </w:pPr>
      <w:r>
        <w:t>Range NIS1.0-1.8B.</w:t>
      </w:r>
    </w:p>
    <w:p>
      <w:pPr>
        <w:pStyle w:val="ListBullet"/>
      </w:pPr>
      <w:r>
        <w:t>Not observed transaction value.</w:t>
      </w:r>
    </w:p>
    <w:p>
      <w:pPr>
        <w:pStyle w:val="ListBullet"/>
      </w:pPr>
      <w:r>
        <w:t>Subscription, promotion, transaction and media/data assumptions.</w:t>
      </w:r>
    </w:p>
    <w:p>
      <w:pPr>
        <w:pStyle w:val="ListBullet"/>
      </w:pPr>
      <w:r>
        <w:t>Validation gate.</w:t>
      </w:r>
    </w:p>
    <w:p>
      <w:pPr>
        <w:pStyle w:val="ListBullet"/>
      </w:pPr>
      <w:r>
        <w:t>Validation target, not actual result.</w:t>
      </w:r>
    </w:p>
    <w:p>
      <w:pPr>
        <w:pStyle w:val="ListBullet"/>
      </w:pPr>
      <w:r>
        <w:t>Validation target.</w:t>
      </w:r>
    </w:p>
    <w:p>
      <w:r>
        <w:br w:type="page"/>
      </w:r>
    </w:p>
    <w:p>
      <w:pPr>
        <w:pStyle w:val="Heading1"/>
      </w:pPr>
      <w:r>
        <w:t>Operating requirements</w:t>
      </w:r>
    </w:p>
    <w:p>
      <w:pPr>
        <w:pStyle w:val="ListBullet"/>
      </w:pPr>
      <w:r>
        <w:t>Provider verification</w:t>
      </w:r>
    </w:p>
    <w:p>
      <w:pPr>
        <w:pStyle w:val="ListBullet"/>
      </w:pPr>
      <w:r>
        <w:t>Request-for-quote routing</w:t>
      </w:r>
    </w:p>
    <w:p>
      <w:pPr>
        <w:pStyle w:val="ListBullet"/>
      </w:pPr>
      <w:r>
        <w:t>Response-time and quote coverage monitoring</w:t>
      </w:r>
    </w:p>
    <w:p>
      <w:pPr>
        <w:pStyle w:val="ListBullet"/>
      </w:pPr>
      <w:r>
        <w:t>Conversion, repeat use and dispute handling</w:t>
      </w:r>
    </w:p>
    <w:p>
      <w:pPr>
        <w:pStyle w:val="Heading1"/>
      </w:pPr>
      <w:r>
        <w:t>Regulation and licensing</w:t>
      </w:r>
    </w:p>
    <w:p>
      <w:pPr>
        <w:keepNext w:val="0"/>
        <w:spacing w:after="120"/>
      </w:pPr>
      <w:r>
        <w:rPr>
          <w:rFonts w:ascii="Arial" w:hAnsi="Arial"/>
          <w:b w:val="0"/>
          <w:i w:val="0"/>
          <w:color w:val="111111"/>
          <w:sz w:val="20"/>
        </w:rPr>
        <w:t>The pilot requires legal review of marketplace terms, liability allocation, payments, privacy, provider verification and trademark clearance before scale.</w:t>
      </w:r>
    </w:p>
    <w:p>
      <w:pPr>
        <w:pStyle w:val="Heading1"/>
      </w:pPr>
      <w:r>
        <w:t>Risk register</w:t>
      </w:r>
    </w:p>
    <w:tbl>
      <w:tblPr>
        <w:tblStyle w:val="TableGrid"/>
        <w:tblW w:type="dxa" w:w="9640"/>
        <w:tblLayout w:type="fixed"/>
        <w:tblLook w:firstColumn="1" w:firstRow="1" w:lastColumn="0" w:lastRow="0" w:noHBand="0" w:noVBand="1" w:val="04A0"/>
        <w:jc w:val="left"/>
        <w:tblInd w:w="0" w:type="dxa"/>
      </w:tblPr>
      <w:tblGrid>
        <w:gridCol w:w="700"/>
        <w:gridCol w:w="3600"/>
        <w:gridCol w:w="1700"/>
        <w:gridCol w:w="3640"/>
      </w:tblGrid>
      <w:tr>
        <w:trPr>
          <w:cantSplit/>
          <w:tblHeader w:val="true"/>
          <w:cantSplit/>
        </w:trPr>
        <w:tc>
          <w:tcPr>
            <w:tcW w:type="dxa" w:w="700"/>
            <w:tcMar>
              <w:top w:w="90" w:type="dxa"/>
              <w:start w:w="120" w:type="dxa"/>
              <w:bottom w:w="90" w:type="dxa"/>
              <w:end w:w="120" w:type="dxa"/>
            </w:tcMar>
            <w:shd w:fill="111111"/>
            <w:vAlign w:val="center"/>
          </w:tcPr>
          <w:p>
            <w:pPr>
              <w:spacing w:after="0"/>
            </w:pPr>
            <w:r>
              <w:rPr>
                <w:rFonts w:ascii="Arial" w:hAnsi="Arial"/>
                <w:b/>
                <w:i w:val="0"/>
                <w:color w:val="FFFFFF"/>
                <w:sz w:val="16"/>
              </w:rPr>
              <w:t>ID</w:t>
            </w:r>
          </w:p>
        </w:tc>
        <w:tc>
          <w:tcPr>
            <w:tcW w:type="dxa" w:w="3600"/>
            <w:tcMar>
              <w:top w:w="90" w:type="dxa"/>
              <w:start w:w="120" w:type="dxa"/>
              <w:bottom w:w="90" w:type="dxa"/>
              <w:end w:w="120" w:type="dxa"/>
            </w:tcMar>
            <w:shd w:fill="111111"/>
            <w:vAlign w:val="center"/>
          </w:tcPr>
          <w:p>
            <w:pPr>
              <w:spacing w:after="0"/>
            </w:pPr>
            <w:r>
              <w:rPr>
                <w:rFonts w:ascii="Arial" w:hAnsi="Arial"/>
                <w:b/>
                <w:i w:val="0"/>
                <w:color w:val="FFFFFF"/>
                <w:sz w:val="16"/>
              </w:rPr>
              <w:t>RISK</w:t>
            </w:r>
          </w:p>
        </w:tc>
        <w:tc>
          <w:tcPr>
            <w:tcW w:type="dxa" w:w="1700"/>
            <w:tcMar>
              <w:top w:w="90" w:type="dxa"/>
              <w:start w:w="120" w:type="dxa"/>
              <w:bottom w:w="90" w:type="dxa"/>
              <w:end w:w="120" w:type="dxa"/>
            </w:tcMar>
            <w:shd w:fill="111111"/>
            <w:vAlign w:val="center"/>
          </w:tcPr>
          <w:p>
            <w:pPr>
              <w:spacing w:after="0"/>
            </w:pPr>
            <w:r>
              <w:rPr>
                <w:rFonts w:ascii="Arial" w:hAnsi="Arial"/>
                <w:b/>
                <w:i w:val="0"/>
                <w:color w:val="FFFFFF"/>
                <w:sz w:val="16"/>
              </w:rPr>
              <w:t>CURRENT LEVEL</w:t>
            </w:r>
          </w:p>
        </w:tc>
        <w:tc>
          <w:tcPr>
            <w:tcW w:type="dxa" w:w="3640"/>
            <w:tcMar>
              <w:top w:w="90" w:type="dxa"/>
              <w:start w:w="120" w:type="dxa"/>
              <w:bottom w:w="90" w:type="dxa"/>
              <w:end w:w="120" w:type="dxa"/>
            </w:tcMar>
            <w:shd w:fill="111111"/>
            <w:vAlign w:val="center"/>
          </w:tcPr>
          <w:p>
            <w:pPr>
              <w:spacing w:after="0"/>
            </w:pPr>
            <w:r>
              <w:rPr>
                <w:rFonts w:ascii="Arial" w:hAnsi="Arial"/>
                <w:b/>
                <w:i w:val="0"/>
                <w:color w:val="FFFFFF"/>
                <w:sz w:val="16"/>
              </w:rPr>
              <w:t>CONTROL</w:t>
            </w:r>
          </w:p>
        </w:tc>
      </w:tr>
      <w:tr>
        <w:trPr>
          <w:cantSplit/>
          <w:cantSplit/>
        </w:trPr>
        <w:tc>
          <w:tcPr>
            <w:tcW w:type="dxa" w:w="700"/>
            <w:shd w:fill="F3F3F3"/>
            <w:vAlign w:val="top"/>
            <w:tcMar>
              <w:top w:w="90" w:type="dxa"/>
              <w:start w:w="120" w:type="dxa"/>
              <w:bottom w:w="90" w:type="dxa"/>
              <w:end w:w="120" w:type="dxa"/>
            </w:tcMar>
          </w:tcPr>
          <w:p>
            <w:pPr>
              <w:spacing w:after="0"/>
            </w:pPr>
            <w:r>
              <w:rPr>
                <w:rFonts w:ascii="Arial" w:hAnsi="Arial"/>
                <w:b/>
                <w:i w:val="0"/>
                <w:color w:val="111111"/>
                <w:sz w:val="16"/>
              </w:rPr>
              <w:t>R01</w:t>
            </w:r>
          </w:p>
        </w:tc>
        <w:tc>
          <w:tcPr>
            <w:tcW w:type="dxa" w:w="3600"/>
            <w:shd w:fill="F3F3F3"/>
            <w:vAlign w:val="top"/>
            <w:tcMar>
              <w:top w:w="90" w:type="dxa"/>
              <w:start w:w="120" w:type="dxa"/>
              <w:bottom w:w="90" w:type="dxa"/>
              <w:end w:w="120" w:type="dxa"/>
            </w:tcMar>
          </w:tcPr>
          <w:p>
            <w:pPr>
              <w:spacing w:after="0"/>
            </w:pPr>
            <w:r>
              <w:rPr>
                <w:rFonts w:ascii="Arial" w:hAnsi="Arial"/>
                <w:b w:val="0"/>
                <w:i w:val="0"/>
                <w:color w:val="111111"/>
                <w:sz w:val="16"/>
              </w:rPr>
              <w:t>Insufficient provider density</w:t>
            </w:r>
          </w:p>
        </w:tc>
        <w:tc>
          <w:tcPr>
            <w:tcW w:type="dxa" w:w="1700"/>
            <w:shd w:fill="F3F3F3"/>
            <w:vAlign w:val="top"/>
            <w:tcMar>
              <w:top w:w="90" w:type="dxa"/>
              <w:start w:w="120" w:type="dxa"/>
              <w:bottom w:w="90" w:type="dxa"/>
              <w:end w:w="120" w:type="dxa"/>
            </w:tcMar>
          </w:tcPr>
          <w:p>
            <w:pPr>
              <w:spacing w:after="0"/>
            </w:pPr>
            <w:r>
              <w:rPr>
                <w:rFonts w:ascii="Arial" w:hAnsi="Arial"/>
                <w:b w:val="0"/>
                <w:i w:val="0"/>
                <w:color w:val="111111"/>
                <w:sz w:val="16"/>
              </w:rPr>
              <w:t>High until evidenced</w:t>
            </w:r>
          </w:p>
        </w:tc>
        <w:tc>
          <w:tcPr>
            <w:tcW w:type="dxa" w:w="3640"/>
            <w:shd w:fill="F3F3F3"/>
            <w:vAlign w:val="top"/>
            <w:tcMar>
              <w:top w:w="90" w:type="dxa"/>
              <w:start w:w="120" w:type="dxa"/>
              <w:bottom w:w="90" w:type="dxa"/>
              <w:end w:w="120" w:type="dxa"/>
            </w:tcMar>
          </w:tcPr>
          <w:p>
            <w:pPr>
              <w:spacing w:after="0"/>
            </w:pPr>
            <w:r>
              <w:rPr>
                <w:rFonts w:ascii="Arial" w:hAnsi="Arial"/>
                <w:b w:val="0"/>
                <w:i w:val="0"/>
                <w:color w:val="111111"/>
                <w:sz w:val="16"/>
              </w:rPr>
              <w:t>Hold commitment until the decision gate is evidenced.</w:t>
            </w:r>
          </w:p>
        </w:tc>
      </w:tr>
      <w:tr>
        <w:trPr>
          <w:cantSplit/>
          <w:cantSplit/>
        </w:trPr>
        <w:tc>
          <w:tcPr>
            <w:tcW w:type="dxa" w:w="700"/>
            <w:shd w:fill="FFFFFF"/>
            <w:vAlign w:val="top"/>
            <w:tcMar>
              <w:top w:w="90" w:type="dxa"/>
              <w:start w:w="120" w:type="dxa"/>
              <w:bottom w:w="90" w:type="dxa"/>
              <w:end w:w="120" w:type="dxa"/>
            </w:tcMar>
          </w:tcPr>
          <w:p>
            <w:pPr>
              <w:spacing w:after="0"/>
            </w:pPr>
            <w:r>
              <w:rPr>
                <w:rFonts w:ascii="Arial" w:hAnsi="Arial"/>
                <w:b/>
                <w:i w:val="0"/>
                <w:color w:val="111111"/>
                <w:sz w:val="16"/>
              </w:rPr>
              <w:t>R02</w:t>
            </w:r>
          </w:p>
        </w:tc>
        <w:tc>
          <w:tcPr>
            <w:tcW w:type="dxa" w:w="3600"/>
            <w:shd w:fill="FFFFFF"/>
            <w:vAlign w:val="top"/>
            <w:tcMar>
              <w:top w:w="90" w:type="dxa"/>
              <w:start w:w="120" w:type="dxa"/>
              <w:bottom w:w="90" w:type="dxa"/>
              <w:end w:w="120" w:type="dxa"/>
            </w:tcMar>
          </w:tcPr>
          <w:p>
            <w:pPr>
              <w:spacing w:after="0"/>
            </w:pPr>
            <w:r>
              <w:rPr>
                <w:rFonts w:ascii="Arial" w:hAnsi="Arial"/>
                <w:b w:val="0"/>
                <w:i w:val="0"/>
                <w:color w:val="111111"/>
                <w:sz w:val="16"/>
              </w:rPr>
              <w:t>Low response or booking conversion</w:t>
            </w:r>
          </w:p>
        </w:tc>
        <w:tc>
          <w:tcPr>
            <w:tcW w:type="dxa" w:w="1700"/>
            <w:shd w:fill="FFFFFF"/>
            <w:vAlign w:val="top"/>
            <w:tcMar>
              <w:top w:w="90" w:type="dxa"/>
              <w:start w:w="120" w:type="dxa"/>
              <w:bottom w:w="90" w:type="dxa"/>
              <w:end w:w="120" w:type="dxa"/>
            </w:tcMar>
          </w:tcPr>
          <w:p>
            <w:pPr>
              <w:spacing w:after="0"/>
            </w:pPr>
            <w:r>
              <w:rPr>
                <w:rFonts w:ascii="Arial" w:hAnsi="Arial"/>
                <w:b w:val="0"/>
                <w:i w:val="0"/>
                <w:color w:val="111111"/>
                <w:sz w:val="16"/>
              </w:rPr>
              <w:t>High until evidenced</w:t>
            </w:r>
          </w:p>
        </w:tc>
        <w:tc>
          <w:tcPr>
            <w:tcW w:type="dxa" w:w="3640"/>
            <w:shd w:fill="FFFFFF"/>
            <w:vAlign w:val="top"/>
            <w:tcMar>
              <w:top w:w="90" w:type="dxa"/>
              <w:start w:w="120" w:type="dxa"/>
              <w:bottom w:w="90" w:type="dxa"/>
              <w:end w:w="120" w:type="dxa"/>
            </w:tcMar>
          </w:tcPr>
          <w:p>
            <w:pPr>
              <w:spacing w:after="0"/>
            </w:pPr>
            <w:r>
              <w:rPr>
                <w:rFonts w:ascii="Arial" w:hAnsi="Arial"/>
                <w:b w:val="0"/>
                <w:i w:val="0"/>
                <w:color w:val="111111"/>
                <w:sz w:val="16"/>
              </w:rPr>
              <w:t>Use separate models and approval thresholds.</w:t>
            </w:r>
          </w:p>
        </w:tc>
      </w:tr>
      <w:tr>
        <w:trPr>
          <w:cantSplit/>
          <w:cantSplit/>
        </w:trPr>
        <w:tc>
          <w:tcPr>
            <w:tcW w:type="dxa" w:w="700"/>
            <w:shd w:fill="F3F3F3"/>
            <w:vAlign w:val="top"/>
            <w:tcMar>
              <w:top w:w="90" w:type="dxa"/>
              <w:start w:w="120" w:type="dxa"/>
              <w:bottom w:w="90" w:type="dxa"/>
              <w:end w:w="120" w:type="dxa"/>
            </w:tcMar>
          </w:tcPr>
          <w:p>
            <w:pPr>
              <w:spacing w:after="0"/>
            </w:pPr>
            <w:r>
              <w:rPr>
                <w:rFonts w:ascii="Arial" w:hAnsi="Arial"/>
                <w:b/>
                <w:i w:val="0"/>
                <w:color w:val="111111"/>
                <w:sz w:val="16"/>
              </w:rPr>
              <w:t>R03</w:t>
            </w:r>
          </w:p>
        </w:tc>
        <w:tc>
          <w:tcPr>
            <w:tcW w:type="dxa" w:w="3600"/>
            <w:shd w:fill="F3F3F3"/>
            <w:vAlign w:val="top"/>
            <w:tcMar>
              <w:top w:w="90" w:type="dxa"/>
              <w:start w:w="120" w:type="dxa"/>
              <w:bottom w:w="90" w:type="dxa"/>
              <w:end w:w="120" w:type="dxa"/>
            </w:tcMar>
          </w:tcPr>
          <w:p>
            <w:pPr>
              <w:spacing w:after="0"/>
            </w:pPr>
            <w:r>
              <w:rPr>
                <w:rFonts w:ascii="Arial" w:hAnsi="Arial"/>
                <w:b w:val="0"/>
                <w:i w:val="0"/>
                <w:color w:val="111111"/>
                <w:sz w:val="16"/>
              </w:rPr>
              <w:t>Weak buyer repeat use</w:t>
            </w:r>
          </w:p>
        </w:tc>
        <w:tc>
          <w:tcPr>
            <w:tcW w:type="dxa" w:w="1700"/>
            <w:shd w:fill="F3F3F3"/>
            <w:vAlign w:val="top"/>
            <w:tcMar>
              <w:top w:w="90" w:type="dxa"/>
              <w:start w:w="120" w:type="dxa"/>
              <w:bottom w:w="90" w:type="dxa"/>
              <w:end w:w="120" w:type="dxa"/>
            </w:tcMar>
          </w:tcPr>
          <w:p>
            <w:pPr>
              <w:spacing w:after="0"/>
            </w:pPr>
            <w:r>
              <w:rPr>
                <w:rFonts w:ascii="Arial" w:hAnsi="Arial"/>
                <w:b w:val="0"/>
                <w:i w:val="0"/>
                <w:color w:val="111111"/>
                <w:sz w:val="16"/>
              </w:rPr>
              <w:t>High until evidenced</w:t>
            </w:r>
          </w:p>
        </w:tc>
        <w:tc>
          <w:tcPr>
            <w:tcW w:type="dxa" w:w="3640"/>
            <w:shd w:fill="F3F3F3"/>
            <w:vAlign w:val="top"/>
            <w:tcMar>
              <w:top w:w="90" w:type="dxa"/>
              <w:start w:w="120" w:type="dxa"/>
              <w:bottom w:w="90" w:type="dxa"/>
              <w:end w:w="120" w:type="dxa"/>
            </w:tcMar>
          </w:tcPr>
          <w:p>
            <w:pPr>
              <w:spacing w:after="0"/>
            </w:pPr>
            <w:r>
              <w:rPr>
                <w:rFonts w:ascii="Arial" w:hAnsi="Arial"/>
                <w:b w:val="0"/>
                <w:i w:val="0"/>
                <w:color w:val="111111"/>
                <w:sz w:val="16"/>
              </w:rPr>
              <w:t>Obtain written quotations, contracts and technical review.</w:t>
            </w:r>
          </w:p>
        </w:tc>
      </w:tr>
      <w:tr>
        <w:trPr>
          <w:cantSplit/>
          <w:cantSplit/>
        </w:trPr>
        <w:tc>
          <w:tcPr>
            <w:tcW w:type="dxa" w:w="700"/>
            <w:shd w:fill="FFFFFF"/>
            <w:vAlign w:val="top"/>
            <w:tcMar>
              <w:top w:w="90" w:type="dxa"/>
              <w:start w:w="120" w:type="dxa"/>
              <w:bottom w:w="90" w:type="dxa"/>
              <w:end w:w="120" w:type="dxa"/>
            </w:tcMar>
          </w:tcPr>
          <w:p>
            <w:pPr>
              <w:spacing w:after="0"/>
            </w:pPr>
            <w:r>
              <w:rPr>
                <w:rFonts w:ascii="Arial" w:hAnsi="Arial"/>
                <w:b/>
                <w:i w:val="0"/>
                <w:color w:val="111111"/>
                <w:sz w:val="16"/>
              </w:rPr>
              <w:t>R04</w:t>
            </w:r>
          </w:p>
        </w:tc>
        <w:tc>
          <w:tcPr>
            <w:tcW w:type="dxa" w:w="3600"/>
            <w:shd w:fill="FFFFFF"/>
            <w:vAlign w:val="top"/>
            <w:tcMar>
              <w:top w:w="90" w:type="dxa"/>
              <w:start w:w="120" w:type="dxa"/>
              <w:bottom w:w="90" w:type="dxa"/>
              <w:end w:w="120" w:type="dxa"/>
            </w:tcMar>
          </w:tcPr>
          <w:p>
            <w:pPr>
              <w:spacing w:after="0"/>
            </w:pPr>
            <w:r>
              <w:rPr>
                <w:rFonts w:ascii="Arial" w:hAnsi="Arial"/>
                <w:b w:val="0"/>
                <w:i w:val="0"/>
                <w:color w:val="111111"/>
                <w:sz w:val="16"/>
              </w:rPr>
              <w:t>Scaling software before marketplace liquidity is proven</w:t>
            </w:r>
          </w:p>
        </w:tc>
        <w:tc>
          <w:tcPr>
            <w:tcW w:type="dxa" w:w="1700"/>
            <w:shd w:fill="FFFFFF"/>
            <w:vAlign w:val="top"/>
            <w:tcMar>
              <w:top w:w="90" w:type="dxa"/>
              <w:start w:w="120" w:type="dxa"/>
              <w:bottom w:w="90" w:type="dxa"/>
              <w:end w:w="120" w:type="dxa"/>
            </w:tcMar>
          </w:tcPr>
          <w:p>
            <w:pPr>
              <w:spacing w:after="0"/>
            </w:pPr>
            <w:r>
              <w:rPr>
                <w:rFonts w:ascii="Arial" w:hAnsi="Arial"/>
                <w:b w:val="0"/>
                <w:i w:val="0"/>
                <w:color w:val="111111"/>
                <w:sz w:val="16"/>
              </w:rPr>
              <w:t>High until evidenced</w:t>
            </w:r>
          </w:p>
        </w:tc>
        <w:tc>
          <w:tcPr>
            <w:tcW w:type="dxa" w:w="3640"/>
            <w:shd w:fill="FFFFFF"/>
            <w:vAlign w:val="top"/>
            <w:tcMar>
              <w:top w:w="90" w:type="dxa"/>
              <w:start w:w="120" w:type="dxa"/>
              <w:bottom w:w="90" w:type="dxa"/>
              <w:end w:w="120" w:type="dxa"/>
            </w:tcMar>
          </w:tcPr>
          <w:p>
            <w:pPr>
              <w:spacing w:after="0"/>
            </w:pPr>
            <w:r>
              <w:rPr>
                <w:rFonts w:ascii="Arial" w:hAnsi="Arial"/>
                <w:b w:val="0"/>
                <w:i w:val="0"/>
                <w:color w:val="111111"/>
                <w:sz w:val="16"/>
              </w:rPr>
              <w:t>Run legal, operating and counterparty diligence before scale.</w:t>
            </w:r>
          </w:p>
        </w:tc>
      </w:tr>
    </w:tbl>
    <w:p>
      <w:pPr>
        <w:spacing w:after="40"/>
      </w:pPr>
    </w:p>
    <w:p>
      <w:pPr>
        <w:pStyle w:val="Heading1"/>
      </w:pPr>
      <w:r>
        <w:t>Recommendation</w:t>
      </w:r>
    </w:p>
    <w:p>
      <w:pPr>
        <w:keepNext w:val="0"/>
        <w:spacing w:after="160"/>
      </w:pPr>
      <w:r>
        <w:rPr>
          <w:rFonts w:ascii="Arial" w:hAnsi="Arial"/>
          <w:b/>
          <w:i w:val="0"/>
          <w:color w:val="111111"/>
          <w:sz w:val="32"/>
        </w:rPr>
        <w:t>CONDITIONAL GO - validation first</w:t>
      </w:r>
    </w:p>
    <w:p>
      <w:pPr>
        <w:keepNext w:val="0"/>
        <w:spacing w:after="120"/>
      </w:pPr>
      <w:r>
        <w:rPr>
          <w:rFonts w:ascii="Arial" w:hAnsi="Arial"/>
          <w:b w:val="0"/>
          <w:i w:val="0"/>
          <w:color w:val="111111"/>
          <w:sz w:val="20"/>
        </w:rPr>
        <w:t>Launch a narrow, concierge-supported marketplace pilot in Gush Dan and the Central District before scaling software or geography.</w:t>
      </w:r>
    </w:p>
    <w:p>
      <w:pPr>
        <w:keepNext w:val="0"/>
        <w:spacing w:after="120"/>
      </w:pPr>
      <w:r>
        <w:rPr>
          <w:rFonts w:ascii="Arial" w:hAnsi="Arial"/>
          <w:b/>
          <w:i w:val="0"/>
          <w:color w:val="111111"/>
          <w:sz w:val="20"/>
        </w:rPr>
        <w:t>Condition before commitment: Provider density, response time, two-quote coverage, conversion and repeat usage must clear the 90-day pilot gates.</w:t>
      </w:r>
    </w:p>
    <w:p>
      <w:r>
        <w:br w:type="page"/>
      </w:r>
    </w:p>
    <w:p>
      <w:pPr>
        <w:pStyle w:val="Heading1"/>
      </w:pPr>
      <w:r>
        <w:t>Missing information and due diligence</w:t>
      </w:r>
    </w:p>
    <w:tbl>
      <w:tblPr>
        <w:tblStyle w:val="TableGrid"/>
        <w:tblW w:type="dxa" w:w="9640"/>
        <w:tblLayout w:type="fixed"/>
        <w:tblLook w:firstColumn="1" w:firstRow="1" w:lastColumn="0" w:lastRow="0" w:noHBand="0" w:noVBand="1" w:val="04A0"/>
        <w:jc w:val="left"/>
        <w:tblInd w:w="0" w:type="dxa"/>
      </w:tblPr>
      <w:tblGrid>
        <w:gridCol w:w="3400"/>
        <w:gridCol w:w="2200"/>
        <w:gridCol w:w="1700"/>
        <w:gridCol w:w="2340"/>
      </w:tblGrid>
      <w:tr>
        <w:trPr>
          <w:cantSplit/>
          <w:tblHeader w:val="true"/>
          <w:cantSplit/>
        </w:trPr>
        <w:tc>
          <w:tcPr>
            <w:tcW w:type="dxa" w:w="3400"/>
            <w:tcMar>
              <w:top w:w="90" w:type="dxa"/>
              <w:start w:w="120" w:type="dxa"/>
              <w:bottom w:w="90" w:type="dxa"/>
              <w:end w:w="120" w:type="dxa"/>
            </w:tcMar>
            <w:shd w:fill="111111"/>
            <w:vAlign w:val="center"/>
          </w:tcPr>
          <w:p>
            <w:pPr>
              <w:spacing w:after="0"/>
            </w:pPr>
            <w:r>
              <w:rPr>
                <w:rFonts w:ascii="Arial" w:hAnsi="Arial"/>
                <w:b/>
                <w:i w:val="0"/>
                <w:color w:val="FFFFFF"/>
                <w:sz w:val="15"/>
              </w:rPr>
              <w:t>DOCUMENT</w:t>
            </w:r>
          </w:p>
        </w:tc>
        <w:tc>
          <w:tcPr>
            <w:tcW w:type="dxa" w:w="2200"/>
            <w:tcMar>
              <w:top w:w="90" w:type="dxa"/>
              <w:start w:w="120" w:type="dxa"/>
              <w:bottom w:w="90" w:type="dxa"/>
              <w:end w:w="120" w:type="dxa"/>
            </w:tcMar>
            <w:shd w:fill="111111"/>
            <w:vAlign w:val="center"/>
          </w:tcPr>
          <w:p>
            <w:pPr>
              <w:spacing w:after="0"/>
            </w:pPr>
            <w:r>
              <w:rPr>
                <w:rFonts w:ascii="Arial" w:hAnsi="Arial"/>
                <w:b/>
                <w:i w:val="0"/>
                <w:color w:val="FFFFFF"/>
                <w:sz w:val="15"/>
              </w:rPr>
              <w:t>STATUS</w:t>
            </w:r>
          </w:p>
        </w:tc>
        <w:tc>
          <w:tcPr>
            <w:tcW w:type="dxa" w:w="1700"/>
            <w:tcMar>
              <w:top w:w="90" w:type="dxa"/>
              <w:start w:w="120" w:type="dxa"/>
              <w:bottom w:w="90" w:type="dxa"/>
              <w:end w:w="120" w:type="dxa"/>
            </w:tcMar>
            <w:shd w:fill="111111"/>
            <w:vAlign w:val="center"/>
          </w:tcPr>
          <w:p>
            <w:pPr>
              <w:spacing w:after="0"/>
            </w:pPr>
            <w:r>
              <w:rPr>
                <w:rFonts w:ascii="Arial" w:hAnsi="Arial"/>
                <w:b/>
                <w:i w:val="0"/>
                <w:color w:val="FFFFFF"/>
                <w:sz w:val="15"/>
              </w:rPr>
              <w:t>LAYER</w:t>
            </w:r>
          </w:p>
        </w:tc>
        <w:tc>
          <w:tcPr>
            <w:tcW w:type="dxa" w:w="2340"/>
            <w:tcMar>
              <w:top w:w="90" w:type="dxa"/>
              <w:start w:w="120" w:type="dxa"/>
              <w:bottom w:w="90" w:type="dxa"/>
              <w:end w:w="120" w:type="dxa"/>
            </w:tcMar>
            <w:shd w:fill="111111"/>
            <w:vAlign w:val="center"/>
          </w:tcPr>
          <w:p>
            <w:pPr>
              <w:spacing w:after="0"/>
            </w:pPr>
            <w:r>
              <w:rPr>
                <w:rFonts w:ascii="Arial" w:hAnsi="Arial"/>
                <w:b/>
                <w:i w:val="0"/>
                <w:color w:val="FFFFFF"/>
                <w:sz w:val="15"/>
              </w:rPr>
              <w:t>REQUIRED ACTION</w:t>
            </w:r>
          </w:p>
        </w:tc>
      </w:tr>
      <w:tr>
        <w:trPr>
          <w:cantSplit/>
          <w:cantSplit/>
        </w:trPr>
        <w:tc>
          <w:tcPr>
            <w:tcW w:type="dxa" w:w="3400"/>
            <w:shd w:fill="F3F3F3"/>
            <w:vAlign w:val="top"/>
            <w:tcMar>
              <w:top w:w="90" w:type="dxa"/>
              <w:start w:w="120" w:type="dxa"/>
              <w:bottom w:w="90" w:type="dxa"/>
              <w:end w:w="120" w:type="dxa"/>
            </w:tcMar>
          </w:tcPr>
          <w:p>
            <w:pPr>
              <w:spacing w:after="0"/>
            </w:pPr>
            <w:r>
              <w:rPr>
                <w:rFonts w:ascii="Arial" w:hAnsi="Arial"/>
                <w:b/>
                <w:i w:val="0"/>
                <w:color w:val="111111"/>
                <w:sz w:val="15"/>
              </w:rPr>
              <w:t>Market and Ideal Customer Research</w:t>
            </w:r>
          </w:p>
        </w:tc>
        <w:tc>
          <w:tcPr>
            <w:tcW w:type="dxa" w:w="2200"/>
            <w:shd w:fill="F3F3F3"/>
            <w:vAlign w:val="top"/>
            <w:tcMar>
              <w:top w:w="90" w:type="dxa"/>
              <w:start w:w="120" w:type="dxa"/>
              <w:bottom w:w="90" w:type="dxa"/>
              <w:end w:w="120" w:type="dxa"/>
            </w:tcMar>
          </w:tcPr>
          <w:p>
            <w:pPr>
              <w:spacing w:after="0"/>
            </w:pPr>
            <w:r>
              <w:rPr>
                <w:rFonts w:ascii="Arial" w:hAnsi="Arial"/>
                <w:b w:val="0"/>
                <w:i w:val="0"/>
                <w:color w:val="111111"/>
                <w:sz w:val="15"/>
              </w:rPr>
              <w:t>Available in project context</w:t>
            </w:r>
          </w:p>
        </w:tc>
        <w:tc>
          <w:tcPr>
            <w:tcW w:type="dxa" w:w="1700"/>
            <w:shd w:fill="F3F3F3"/>
            <w:vAlign w:val="top"/>
            <w:tcMar>
              <w:top w:w="90" w:type="dxa"/>
              <w:start w:w="120" w:type="dxa"/>
              <w:bottom w:w="90" w:type="dxa"/>
              <w:end w:w="120" w:type="dxa"/>
            </w:tcMar>
          </w:tcPr>
          <w:p>
            <w:pPr>
              <w:spacing w:after="0"/>
            </w:pPr>
            <w:r>
              <w:rPr>
                <w:rFonts w:ascii="Arial" w:hAnsi="Arial"/>
                <w:b w:val="0"/>
                <w:i w:val="0"/>
                <w:color w:val="111111"/>
                <w:sz w:val="15"/>
              </w:rPr>
              <w:t>Source</w:t>
            </w:r>
          </w:p>
        </w:tc>
        <w:tc>
          <w:tcPr>
            <w:tcW w:type="dxa" w:w="2340"/>
            <w:shd w:fill="F3F3F3"/>
            <w:vAlign w:val="top"/>
            <w:tcMar>
              <w:top w:w="90" w:type="dxa"/>
              <w:start w:w="120" w:type="dxa"/>
              <w:bottom w:w="90" w:type="dxa"/>
              <w:end w:w="120" w:type="dxa"/>
            </w:tcMar>
          </w:tcPr>
          <w:p>
            <w:pPr>
              <w:spacing w:after="0"/>
            </w:pPr>
            <w:r>
              <w:rPr>
                <w:rFonts w:ascii="Arial" w:hAnsi="Arial"/>
                <w:b w:val="0"/>
                <w:i w:val="0"/>
                <w:color w:val="111111"/>
                <w:sz w:val="15"/>
              </w:rPr>
              <w:t>Formalise</w:t>
            </w:r>
          </w:p>
        </w:tc>
      </w:tr>
      <w:tr>
        <w:trPr>
          <w:cantSplit/>
          <w:cantSplit/>
        </w:trPr>
        <w:tc>
          <w:tcPr>
            <w:tcW w:type="dxa" w:w="3400"/>
            <w:shd w:fill="FFFFFF"/>
            <w:vAlign w:val="top"/>
            <w:tcMar>
              <w:top w:w="90" w:type="dxa"/>
              <w:start w:w="120" w:type="dxa"/>
              <w:bottom w:w="90" w:type="dxa"/>
              <w:end w:w="120" w:type="dxa"/>
            </w:tcMar>
          </w:tcPr>
          <w:p>
            <w:pPr>
              <w:spacing w:after="0"/>
            </w:pPr>
            <w:r>
              <w:rPr>
                <w:rFonts w:ascii="Arial" w:hAnsi="Arial"/>
                <w:b/>
                <w:i w:val="0"/>
                <w:color w:val="111111"/>
                <w:sz w:val="15"/>
              </w:rPr>
              <w:t>Formal Consolidated Research Report</w:t>
            </w:r>
          </w:p>
        </w:tc>
        <w:tc>
          <w:tcPr>
            <w:tcW w:type="dxa" w:w="2200"/>
            <w:shd w:fill="FFFFFF"/>
            <w:vAlign w:val="top"/>
            <w:tcMar>
              <w:top w:w="90" w:type="dxa"/>
              <w:start w:w="120" w:type="dxa"/>
              <w:bottom w:w="90" w:type="dxa"/>
              <w:end w:w="120" w:type="dxa"/>
            </w:tcMar>
          </w:tcPr>
          <w:p>
            <w:pPr>
              <w:spacing w:after="0"/>
            </w:pPr>
            <w:r>
              <w:rPr>
                <w:rFonts w:ascii="Arial" w:hAnsi="Arial"/>
                <w:b w:val="0"/>
                <w:i w:val="0"/>
                <w:color w:val="111111"/>
                <w:sz w:val="15"/>
              </w:rPr>
              <w:t>Pending</w:t>
            </w:r>
          </w:p>
        </w:tc>
        <w:tc>
          <w:tcPr>
            <w:tcW w:type="dxa" w:w="1700"/>
            <w:shd w:fill="FFFFFF"/>
            <w:vAlign w:val="top"/>
            <w:tcMar>
              <w:top w:w="90" w:type="dxa"/>
              <w:start w:w="120" w:type="dxa"/>
              <w:bottom w:w="90" w:type="dxa"/>
              <w:end w:w="120" w:type="dxa"/>
            </w:tcMar>
          </w:tcPr>
          <w:p>
            <w:pPr>
              <w:spacing w:after="0"/>
            </w:pPr>
            <w:r>
              <w:rPr>
                <w:rFonts w:ascii="Arial" w:hAnsi="Arial"/>
                <w:b w:val="0"/>
                <w:i w:val="0"/>
                <w:color w:val="111111"/>
                <w:sz w:val="15"/>
              </w:rPr>
              <w:t>Phase 2</w:t>
            </w:r>
          </w:p>
        </w:tc>
        <w:tc>
          <w:tcPr>
            <w:tcW w:type="dxa" w:w="2340"/>
            <w:shd w:fill="FFFFFF"/>
            <w:vAlign w:val="top"/>
            <w:tcMar>
              <w:top w:w="90" w:type="dxa"/>
              <w:start w:w="120" w:type="dxa"/>
              <w:bottom w:w="90" w:type="dxa"/>
              <w:end w:w="120" w:type="dxa"/>
            </w:tcMar>
          </w:tcPr>
          <w:p>
            <w:pPr>
              <w:spacing w:after="0"/>
            </w:pPr>
            <w:r>
              <w:rPr>
                <w:rFonts w:ascii="Arial" w:hAnsi="Arial"/>
                <w:b w:val="0"/>
                <w:i w:val="0"/>
                <w:color w:val="111111"/>
                <w:sz w:val="15"/>
              </w:rPr>
              <w:t>Create DOCX/PDF</w:t>
            </w:r>
          </w:p>
        </w:tc>
      </w:tr>
      <w:tr>
        <w:trPr>
          <w:cantSplit/>
          <w:cantSplit/>
        </w:trPr>
        <w:tc>
          <w:tcPr>
            <w:tcW w:type="dxa" w:w="3400"/>
            <w:shd w:fill="F3F3F3"/>
            <w:vAlign w:val="top"/>
            <w:tcMar>
              <w:top w:w="90" w:type="dxa"/>
              <w:start w:w="120" w:type="dxa"/>
              <w:bottom w:w="90" w:type="dxa"/>
              <w:end w:w="120" w:type="dxa"/>
            </w:tcMar>
          </w:tcPr>
          <w:p>
            <w:pPr>
              <w:spacing w:after="0"/>
            </w:pPr>
            <w:r>
              <w:rPr>
                <w:rFonts w:ascii="Arial" w:hAnsi="Arial"/>
                <w:b/>
                <w:i w:val="0"/>
                <w:color w:val="111111"/>
                <w:sz w:val="15"/>
              </w:rPr>
              <w:t>90-Day Pilot Pack and KPI Tracker</w:t>
            </w:r>
          </w:p>
        </w:tc>
        <w:tc>
          <w:tcPr>
            <w:tcW w:type="dxa" w:w="2200"/>
            <w:shd w:fill="F3F3F3"/>
            <w:vAlign w:val="top"/>
            <w:tcMar>
              <w:top w:w="90" w:type="dxa"/>
              <w:start w:w="120" w:type="dxa"/>
              <w:bottom w:w="90" w:type="dxa"/>
              <w:end w:w="120" w:type="dxa"/>
            </w:tcMar>
          </w:tcPr>
          <w:p>
            <w:pPr>
              <w:spacing w:after="0"/>
            </w:pPr>
            <w:r>
              <w:rPr>
                <w:rFonts w:ascii="Arial" w:hAnsi="Arial"/>
                <w:b w:val="0"/>
                <w:i w:val="0"/>
                <w:color w:val="111111"/>
                <w:sz w:val="15"/>
              </w:rPr>
              <w:t>Pending execution</w:t>
            </w:r>
          </w:p>
        </w:tc>
        <w:tc>
          <w:tcPr>
            <w:tcW w:type="dxa" w:w="1700"/>
            <w:shd w:fill="F3F3F3"/>
            <w:vAlign w:val="top"/>
            <w:tcMar>
              <w:top w:w="90" w:type="dxa"/>
              <w:start w:w="120" w:type="dxa"/>
              <w:bottom w:w="90" w:type="dxa"/>
              <w:end w:w="120" w:type="dxa"/>
            </w:tcMar>
          </w:tcPr>
          <w:p>
            <w:pPr>
              <w:spacing w:after="0"/>
            </w:pPr>
            <w:r>
              <w:rPr>
                <w:rFonts w:ascii="Arial" w:hAnsi="Arial"/>
                <w:b w:val="0"/>
                <w:i w:val="0"/>
                <w:color w:val="111111"/>
                <w:sz w:val="15"/>
              </w:rPr>
              <w:t>Commercial evidence</w:t>
            </w:r>
          </w:p>
        </w:tc>
        <w:tc>
          <w:tcPr>
            <w:tcW w:type="dxa" w:w="2340"/>
            <w:shd w:fill="F3F3F3"/>
            <w:vAlign w:val="top"/>
            <w:tcMar>
              <w:top w:w="90" w:type="dxa"/>
              <w:start w:w="120" w:type="dxa"/>
              <w:bottom w:w="90" w:type="dxa"/>
              <w:end w:w="120" w:type="dxa"/>
            </w:tcMar>
          </w:tcPr>
          <w:p>
            <w:pPr>
              <w:spacing w:after="0"/>
            </w:pPr>
            <w:r>
              <w:rPr>
                <w:rFonts w:ascii="Arial" w:hAnsi="Arial"/>
                <w:b w:val="0"/>
                <w:i w:val="0"/>
                <w:color w:val="111111"/>
                <w:sz w:val="15"/>
              </w:rPr>
              <w:t>Create template then populate</w:t>
            </w:r>
          </w:p>
        </w:tc>
      </w:tr>
    </w:tbl>
    <w:p>
      <w:pPr>
        <w:spacing w:after="40"/>
      </w:pPr>
    </w:p>
    <w:p>
      <w:pPr>
        <w:keepNext w:val="0"/>
        <w:spacing w:after="120"/>
      </w:pPr>
      <w:r>
        <w:rPr>
          <w:rFonts w:ascii="Arial" w:hAnsi="Arial"/>
          <w:b w:val="0"/>
          <w:i w:val="0"/>
          <w:color w:val="555555"/>
          <w:sz w:val="17"/>
        </w:rPr>
        <w:t>Commercial evidence such as live quotations, LOIs, site models, licences and legal confirmations must be dated and tied to the actual transaction or operating entity.</w:t>
      </w:r>
    </w:p>
    <w:p>
      <w:pPr>
        <w:pStyle w:val="Heading1"/>
      </w:pPr>
      <w:r>
        <w:t>Conflicting or updated information</w:t>
      </w:r>
    </w:p>
    <w:tbl>
      <w:tblPr>
        <w:tblStyle w:val="TableGrid"/>
        <w:tblW w:type="dxa" w:w="9640"/>
        <w:tblLayout w:type="fixed"/>
        <w:tblLook w:firstColumn="1" w:firstRow="1" w:lastColumn="0" w:lastRow="0" w:noHBand="0" w:noVBand="1" w:val="04A0"/>
        <w:jc w:val="left"/>
        <w:tblInd w:w="0" w:type="dxa"/>
      </w:tblPr>
      <w:tblGrid>
        <w:gridCol w:w="1700"/>
        <w:gridCol w:w="2600"/>
        <w:gridCol w:w="2500"/>
        <w:gridCol w:w="2840"/>
      </w:tblGrid>
      <w:tr>
        <w:trPr>
          <w:cantSplit/>
          <w:tblHeader w:val="true"/>
          <w:cantSplit/>
        </w:trPr>
        <w:tc>
          <w:tcPr>
            <w:tcW w:type="dxa" w:w="1700"/>
            <w:tcMar>
              <w:top w:w="90" w:type="dxa"/>
              <w:start w:w="120" w:type="dxa"/>
              <w:bottom w:w="90" w:type="dxa"/>
              <w:end w:w="120" w:type="dxa"/>
            </w:tcMar>
            <w:shd w:fill="111111"/>
            <w:vAlign w:val="center"/>
          </w:tcPr>
          <w:p>
            <w:pPr>
              <w:spacing w:after="0"/>
            </w:pPr>
            <w:r>
              <w:rPr>
                <w:rFonts w:ascii="Arial" w:hAnsi="Arial"/>
                <w:b/>
                <w:i w:val="0"/>
                <w:color w:val="FFFFFF"/>
                <w:sz w:val="14"/>
              </w:rPr>
              <w:t>TOPIC</w:t>
            </w:r>
          </w:p>
        </w:tc>
        <w:tc>
          <w:tcPr>
            <w:tcW w:type="dxa" w:w="2600"/>
            <w:tcMar>
              <w:top w:w="90" w:type="dxa"/>
              <w:start w:w="120" w:type="dxa"/>
              <w:bottom w:w="90" w:type="dxa"/>
              <w:end w:w="120" w:type="dxa"/>
            </w:tcMar>
            <w:shd w:fill="111111"/>
            <w:vAlign w:val="center"/>
          </w:tcPr>
          <w:p>
            <w:pPr>
              <w:spacing w:after="0"/>
            </w:pPr>
            <w:r>
              <w:rPr>
                <w:rFonts w:ascii="Arial" w:hAnsi="Arial"/>
                <w:b/>
                <w:i w:val="0"/>
                <w:color w:val="FFFFFF"/>
                <w:sz w:val="14"/>
              </w:rPr>
              <w:t>EARLIER FIGURE OR STATEMENT</w:t>
            </w:r>
          </w:p>
        </w:tc>
        <w:tc>
          <w:tcPr>
            <w:tcW w:type="dxa" w:w="2500"/>
            <w:tcMar>
              <w:top w:w="90" w:type="dxa"/>
              <w:start w:w="120" w:type="dxa"/>
              <w:bottom w:w="90" w:type="dxa"/>
              <w:end w:w="120" w:type="dxa"/>
            </w:tcMar>
            <w:shd w:fill="111111"/>
            <w:vAlign w:val="center"/>
          </w:tcPr>
          <w:p>
            <w:pPr>
              <w:spacing w:after="0"/>
            </w:pPr>
            <w:r>
              <w:rPr>
                <w:rFonts w:ascii="Arial" w:hAnsi="Arial"/>
                <w:b/>
                <w:i w:val="0"/>
                <w:color w:val="FFFFFF"/>
                <w:sz w:val="14"/>
              </w:rPr>
              <w:t>CONTROLLING POSITION</w:t>
            </w:r>
          </w:p>
        </w:tc>
        <w:tc>
          <w:tcPr>
            <w:tcW w:type="dxa" w:w="2840"/>
            <w:tcMar>
              <w:top w:w="90" w:type="dxa"/>
              <w:start w:w="120" w:type="dxa"/>
              <w:bottom w:w="90" w:type="dxa"/>
              <w:end w:w="120" w:type="dxa"/>
            </w:tcMar>
            <w:shd w:fill="111111"/>
            <w:vAlign w:val="center"/>
          </w:tcPr>
          <w:p>
            <w:pPr>
              <w:spacing w:after="0"/>
            </w:pPr>
            <w:r>
              <w:rPr>
                <w:rFonts w:ascii="Arial" w:hAnsi="Arial"/>
                <w:b/>
                <w:i w:val="0"/>
                <w:color w:val="FFFFFF"/>
                <w:sz w:val="14"/>
              </w:rPr>
              <w:t>RESOLUTION</w:t>
            </w:r>
          </w:p>
        </w:tc>
      </w:tr>
      <w:tr>
        <w:trPr>
          <w:cantSplit/>
          <w:cantSplit/>
        </w:trPr>
        <w:tc>
          <w:tcPr>
            <w:tcW w:type="dxa" w:w="1700"/>
            <w:shd w:fill="F3F3F3"/>
            <w:vAlign w:val="top"/>
            <w:tcMar>
              <w:top w:w="90" w:type="dxa"/>
              <w:start w:w="120" w:type="dxa"/>
              <w:bottom w:w="90" w:type="dxa"/>
              <w:end w:w="120" w:type="dxa"/>
            </w:tcMar>
          </w:tcPr>
          <w:p>
            <w:pPr>
              <w:spacing w:after="0"/>
            </w:pPr>
            <w:r>
              <w:rPr>
                <w:rFonts w:ascii="Arial" w:hAnsi="Arial"/>
                <w:b/>
                <w:i w:val="0"/>
                <w:color w:val="111111"/>
                <w:sz w:val="14"/>
              </w:rPr>
              <w:t>Old revenue model</w:t>
            </w:r>
          </w:p>
        </w:tc>
        <w:tc>
          <w:tcPr>
            <w:tcW w:type="dxa" w:w="2600"/>
            <w:shd w:fill="F3F3F3"/>
            <w:vAlign w:val="top"/>
            <w:tcMar>
              <w:top w:w="90" w:type="dxa"/>
              <w:start w:w="120" w:type="dxa"/>
              <w:bottom w:w="90" w:type="dxa"/>
              <w:end w:w="120" w:type="dxa"/>
            </w:tcMar>
          </w:tcPr>
          <w:p>
            <w:pPr>
              <w:spacing w:after="0"/>
            </w:pPr>
            <w:r>
              <w:rPr>
                <w:rFonts w:ascii="Arial" w:hAnsi="Arial"/>
                <w:b w:val="0"/>
                <w:i w:val="0"/>
                <w:color w:val="111111"/>
                <w:sz w:val="14"/>
              </w:rPr>
              <w:t>NIS108M / 18M / 2.7M subscription structure</w:t>
            </w:r>
          </w:p>
        </w:tc>
        <w:tc>
          <w:tcPr>
            <w:tcW w:type="dxa" w:w="2500"/>
            <w:shd w:fill="F3F3F3"/>
            <w:vAlign w:val="top"/>
            <w:tcMar>
              <w:top w:w="90" w:type="dxa"/>
              <w:start w:w="120" w:type="dxa"/>
              <w:bottom w:w="90" w:type="dxa"/>
              <w:end w:w="120" w:type="dxa"/>
            </w:tcMar>
          </w:tcPr>
          <w:p>
            <w:pPr>
              <w:spacing w:after="0"/>
            </w:pPr>
            <w:r>
              <w:rPr>
                <w:rFonts w:ascii="Arial" w:hAnsi="Arial"/>
                <w:b w:val="0"/>
                <w:i w:val="0"/>
                <w:color w:val="111111"/>
                <w:sz w:val="14"/>
              </w:rPr>
              <w:t>NIS6.62M base Year3-5 annual revenue model</w:t>
            </w:r>
          </w:p>
        </w:tc>
        <w:tc>
          <w:tcPr>
            <w:tcW w:type="dxa" w:w="2840"/>
            <w:shd w:fill="F3F3F3"/>
            <w:vAlign w:val="top"/>
            <w:tcMar>
              <w:top w:w="90" w:type="dxa"/>
              <w:start w:w="120" w:type="dxa"/>
              <w:bottom w:w="90" w:type="dxa"/>
              <w:end w:w="120" w:type="dxa"/>
            </w:tcMar>
          </w:tcPr>
          <w:p>
            <w:pPr>
              <w:spacing w:after="0"/>
            </w:pPr>
            <w:r>
              <w:rPr>
                <w:rFonts w:ascii="Arial" w:hAnsi="Arial"/>
                <w:b w:val="0"/>
                <w:i w:val="0"/>
                <w:color w:val="111111"/>
                <w:sz w:val="14"/>
              </w:rPr>
              <w:t>Old figures remain removed.</w:t>
            </w:r>
          </w:p>
        </w:tc>
      </w:tr>
    </w:tbl>
    <w:p>
      <w:pPr>
        <w:spacing w:after="40"/>
      </w:pPr>
    </w:p>
    <w:p>
      <w:r>
        <w:br w:type="page"/>
      </w:r>
    </w:p>
    <w:p>
      <w:pPr>
        <w:pStyle w:val="Heading1"/>
      </w:pPr>
      <w:r>
        <w:t>Material claim register</w:t>
      </w:r>
    </w:p>
    <w:tbl>
      <w:tblPr>
        <w:tblStyle w:val="TableGrid"/>
        <w:tblW w:type="dxa" w:w="9640"/>
        <w:tblLayout w:type="fixed"/>
        <w:tblLook w:firstColumn="1" w:firstRow="1" w:lastColumn="0" w:lastRow="0" w:noHBand="0" w:noVBand="1" w:val="04A0"/>
        <w:jc w:val="left"/>
        <w:tblInd w:w="0" w:type="dxa"/>
      </w:tblPr>
      <w:tblGrid>
        <w:gridCol w:w="1100"/>
        <w:gridCol w:w="1900"/>
        <w:gridCol w:w="1500"/>
        <w:gridCol w:w="1300"/>
        <w:gridCol w:w="2100"/>
        <w:gridCol w:w="1740"/>
      </w:tblGrid>
      <w:tr>
        <w:trPr>
          <w:cantSplit/>
          <w:tblHeader w:val="true"/>
          <w:cantSplit/>
        </w:trPr>
        <w:tc>
          <w:tcPr>
            <w:tcW w:type="dxa" w:w="1100"/>
            <w:tcMar>
              <w:top w:w="90" w:type="dxa"/>
              <w:start w:w="120" w:type="dxa"/>
              <w:bottom w:w="90" w:type="dxa"/>
              <w:end w:w="120" w:type="dxa"/>
            </w:tcMar>
            <w:shd w:fill="111111"/>
            <w:vAlign w:val="center"/>
          </w:tcPr>
          <w:p>
            <w:pPr>
              <w:spacing w:after="0"/>
            </w:pPr>
            <w:r>
              <w:rPr>
                <w:rFonts w:ascii="Arial" w:hAnsi="Arial"/>
                <w:b/>
                <w:i w:val="0"/>
                <w:color w:val="FFFFFF"/>
                <w:sz w:val="14"/>
              </w:rPr>
              <w:t>CLAIM</w:t>
            </w:r>
          </w:p>
        </w:tc>
        <w:tc>
          <w:tcPr>
            <w:tcW w:type="dxa" w:w="1900"/>
            <w:tcMar>
              <w:top w:w="90" w:type="dxa"/>
              <w:start w:w="120" w:type="dxa"/>
              <w:bottom w:w="90" w:type="dxa"/>
              <w:end w:w="120" w:type="dxa"/>
            </w:tcMar>
            <w:shd w:fill="111111"/>
            <w:vAlign w:val="center"/>
          </w:tcPr>
          <w:p>
            <w:pPr>
              <w:spacing w:after="0"/>
            </w:pPr>
            <w:r>
              <w:rPr>
                <w:rFonts w:ascii="Arial" w:hAnsi="Arial"/>
                <w:b/>
                <w:i w:val="0"/>
                <w:color w:val="FFFFFF"/>
                <w:sz w:val="14"/>
              </w:rPr>
              <w:t>METRIC</w:t>
            </w:r>
          </w:p>
        </w:tc>
        <w:tc>
          <w:tcPr>
            <w:tcW w:type="dxa" w:w="1500"/>
            <w:tcMar>
              <w:top w:w="90" w:type="dxa"/>
              <w:start w:w="120" w:type="dxa"/>
              <w:bottom w:w="90" w:type="dxa"/>
              <w:end w:w="120" w:type="dxa"/>
            </w:tcMar>
            <w:shd w:fill="111111"/>
            <w:vAlign w:val="center"/>
          </w:tcPr>
          <w:p>
            <w:pPr>
              <w:spacing w:after="0"/>
            </w:pPr>
            <w:r>
              <w:rPr>
                <w:rFonts w:ascii="Arial" w:hAnsi="Arial"/>
                <w:b/>
                <w:i w:val="0"/>
                <w:color w:val="FFFFFF"/>
                <w:sz w:val="14"/>
              </w:rPr>
              <w:t>VALUE</w:t>
            </w:r>
          </w:p>
        </w:tc>
        <w:tc>
          <w:tcPr>
            <w:tcW w:type="dxa" w:w="1300"/>
            <w:tcMar>
              <w:top w:w="90" w:type="dxa"/>
              <w:start w:w="120" w:type="dxa"/>
              <w:bottom w:w="90" w:type="dxa"/>
              <w:end w:w="120" w:type="dxa"/>
            </w:tcMar>
            <w:shd w:fill="111111"/>
            <w:vAlign w:val="center"/>
          </w:tcPr>
          <w:p>
            <w:pPr>
              <w:spacing w:after="0"/>
            </w:pPr>
            <w:r>
              <w:rPr>
                <w:rFonts w:ascii="Arial" w:hAnsi="Arial"/>
                <w:b/>
                <w:i w:val="0"/>
                <w:color w:val="FFFFFF"/>
                <w:sz w:val="14"/>
              </w:rPr>
              <w:t>PERIOD</w:t>
            </w:r>
          </w:p>
        </w:tc>
        <w:tc>
          <w:tcPr>
            <w:tcW w:type="dxa" w:w="2100"/>
            <w:tcMar>
              <w:top w:w="90" w:type="dxa"/>
              <w:start w:w="120" w:type="dxa"/>
              <w:bottom w:w="90" w:type="dxa"/>
              <w:end w:w="120" w:type="dxa"/>
            </w:tcMar>
            <w:shd w:fill="111111"/>
            <w:vAlign w:val="center"/>
          </w:tcPr>
          <w:p>
            <w:pPr>
              <w:spacing w:after="0"/>
            </w:pPr>
            <w:r>
              <w:rPr>
                <w:rFonts w:ascii="Arial" w:hAnsi="Arial"/>
                <w:b/>
                <w:i w:val="0"/>
                <w:color w:val="FFFFFF"/>
                <w:sz w:val="14"/>
              </w:rPr>
              <w:t>EVIDENCE</w:t>
            </w:r>
          </w:p>
        </w:tc>
        <w:tc>
          <w:tcPr>
            <w:tcW w:type="dxa" w:w="1740"/>
            <w:tcMar>
              <w:top w:w="90" w:type="dxa"/>
              <w:start w:w="120" w:type="dxa"/>
              <w:bottom w:w="90" w:type="dxa"/>
              <w:end w:w="120" w:type="dxa"/>
            </w:tcMar>
            <w:shd w:fill="111111"/>
            <w:vAlign w:val="center"/>
          </w:tcPr>
          <w:p>
            <w:pPr>
              <w:spacing w:after="0"/>
            </w:pPr>
            <w:r>
              <w:rPr>
                <w:rFonts w:ascii="Arial" w:hAnsi="Arial"/>
                <w:b/>
                <w:i w:val="0"/>
                <w:color w:val="FFFFFF"/>
                <w:sz w:val="14"/>
              </w:rPr>
              <w:t>SOURCE / LIMITATION</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V04-C01</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Active construction businesses</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70436 businesses</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2020 structural baseline</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VERIFIED PUBLIC DATA</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S07. 2020 structural baseline, not current registered total.</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V04-C02</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Base TAM GMV</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NIS 10.1B NIS/year GMV</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Year 3-5 planning</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S07. Planning model; range NIS5.2-17.6B.</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V04-C03</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Base SAM GMV</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NIS 1.5B NIS/year GMV</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Year 3-5 planning</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S07. Range NIS1.0-1.8B.</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V04-C04</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SOM GMV</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NIS 75-120M NIS/year GMV</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Year 3-5 planning</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S07. Not observed transaction value.</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V04-C05</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Base annual revenue</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NIS 6.62M NIS/year</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Year 3-5 planning</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S07. Subscription, promotion, transaction and media/data assumptions.</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V04-C06</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Verified providers</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75-100 providers</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90-day pilot</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S07. Validation gate.</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V04-C07</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RFQ-to-booking conversion</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at least 20% %</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90-day pilot</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S07. Validation target, not actual result.</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V04-C08</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60-day buyer repeat</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at least 25% %</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90-day pilot</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S07. Validation target.</w:t>
            </w:r>
          </w:p>
        </w:tc>
      </w:tr>
    </w:tbl>
    <w:p>
      <w:pPr>
        <w:spacing w:after="40"/>
      </w:pPr>
    </w:p>
    <w:p>
      <w:pPr>
        <w:pStyle w:val="Heading1"/>
      </w:pPr>
      <w:r>
        <w:t>Source register</w:t>
      </w:r>
    </w:p>
    <w:p>
      <w:pPr>
        <w:spacing w:after="40"/>
      </w:pPr>
      <w:r>
        <w:rPr>
          <w:rFonts w:ascii="Arial" w:hAnsi="Arial"/>
          <w:b/>
          <w:i w:val="0"/>
          <w:color w:val="111111"/>
          <w:sz w:val="18"/>
        </w:rPr>
        <w:t>[S07] KLIGO Market and Ideal Customer Analysis</w:t>
      </w:r>
    </w:p>
    <w:p>
      <w:pPr>
        <w:spacing w:after="80"/>
      </w:pPr>
      <w:r>
        <w:rPr>
          <w:rFonts w:ascii="Arial" w:hAnsi="Arial"/>
          <w:b/>
          <w:i w:val="0"/>
          <w:color w:val="555555"/>
          <w:sz w:val="19"/>
        </w:rPr>
        <w:t xml:space="preserve">Organisation / type: </w:t>
      </w:r>
      <w:r>
        <w:rPr>
          <w:rFonts w:ascii="Arial" w:hAnsi="Arial"/>
          <w:b w:val="0"/>
          <w:i w:val="0"/>
          <w:color w:val="111111"/>
          <w:sz w:val="19"/>
        </w:rPr>
        <w:t>Completed Deep Research and source pack</w:t>
      </w:r>
    </w:p>
    <w:p>
      <w:pPr>
        <w:spacing w:after="80"/>
      </w:pPr>
      <w:r>
        <w:rPr>
          <w:rFonts w:ascii="Arial" w:hAnsi="Arial"/>
          <w:b/>
          <w:i w:val="0"/>
          <w:color w:val="555555"/>
          <w:sz w:val="19"/>
        </w:rPr>
        <w:t xml:space="preserve">Date: </w:t>
      </w:r>
      <w:r>
        <w:rPr>
          <w:rFonts w:ascii="Arial" w:hAnsi="Arial"/>
          <w:b w:val="0"/>
          <w:i w:val="0"/>
          <w:color w:val="111111"/>
          <w:sz w:val="19"/>
        </w:rPr>
        <w:t>2026-08-31</w:t>
      </w:r>
    </w:p>
    <w:p>
      <w:pPr>
        <w:spacing w:after="80"/>
      </w:pPr>
      <w:r>
        <w:rPr>
          <w:rFonts w:ascii="Arial" w:hAnsi="Arial"/>
          <w:b/>
          <w:i w:val="0"/>
          <w:color w:val="555555"/>
          <w:sz w:val="19"/>
        </w:rPr>
        <w:t xml:space="preserve">File: </w:t>
      </w:r>
      <w:r>
        <w:rPr>
          <w:rFonts w:ascii="Arial" w:hAnsi="Arial"/>
          <w:b w:val="0"/>
          <w:i w:val="0"/>
          <w:color w:val="111111"/>
          <w:sz w:val="19"/>
        </w:rPr>
        <w:t>Project research; Startup-Guide.docx; Research-Rationale.docx</w:t>
      </w:r>
    </w:p>
    <w:p>
      <w:pPr>
        <w:spacing w:after="80"/>
      </w:pPr>
      <w:r>
        <w:rPr>
          <w:rFonts w:ascii="Arial" w:hAnsi="Arial"/>
          <w:b/>
          <w:i w:val="0"/>
          <w:color w:val="555555"/>
          <w:sz w:val="19"/>
        </w:rPr>
        <w:t xml:space="preserve">Supports: </w:t>
      </w:r>
      <w:r>
        <w:rPr>
          <w:rFonts w:ascii="Arial" w:hAnsi="Arial"/>
          <w:b w:val="0"/>
          <w:i w:val="0"/>
          <w:color w:val="111111"/>
          <w:sz w:val="19"/>
        </w:rPr>
        <w:t>Israel market model, TAM/SAM/SOM GMV, revenue model and pilot gates.</w:t>
      </w:r>
    </w:p>
    <w:p>
      <w:pPr>
        <w:keepNext w:val="0"/>
        <w:spacing w:after="160"/>
      </w:pPr>
      <w:r>
        <w:rPr>
          <w:rFonts w:ascii="Arial" w:hAnsi="Arial"/>
          <w:b w:val="0"/>
          <w:i/>
          <w:color w:val="888888"/>
          <w:sz w:val="17"/>
        </w:rPr>
        <w:t>Original external URL is not recorded in the controlling register.</w:t>
      </w:r>
    </w:p>
    <w:p>
      <w:pPr>
        <w:keepNext w:val="0"/>
        <w:spacing w:after="0"/>
        <w:jc w:val="center"/>
      </w:pPr>
      <w:r>
        <w:rPr>
          <w:rFonts w:ascii="Arial" w:hAnsi="Arial"/>
          <w:b/>
          <w:i w:val="0"/>
          <w:color w:val="888888"/>
          <w:sz w:val="16"/>
        </w:rPr>
        <w:t>END OF REPORT</w:t>
      </w:r>
    </w:p>
    <w:sectPr w:rsidR="00FC693F" w:rsidRPr="0006063C" w:rsidSect="00034616">
      <w:headerReference w:type="default" r:id="rId9"/>
      <w:footerReference w:type="default" r:id="rId10"/>
      <w:pgSz w:w="11906" w:h="16838"/>
      <w:pgMar w:top="1134" w:right="1134" w:bottom="1020" w:left="1134"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b/>
        <w:i w:val="0"/>
        <w:color w:val="888888"/>
        <w:sz w:val="16"/>
      </w:rPr>
      <w:t xml:space="preserve">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4" w:space="4" w:color="D2D2D2"/>
      </w:pBdr>
    </w:pPr>
    <w:r>
      <w:drawing>
        <wp:inline xmlns:a="http://schemas.openxmlformats.org/drawingml/2006/main" xmlns:pic="http://schemas.openxmlformats.org/drawingml/2006/picture">
          <wp:extent cx="621792" cy="149001"/>
          <wp:docPr id="1" name="Picture 1"/>
          <wp:cNvGraphicFramePr>
            <a:graphicFrameLocks noChangeAspect="1"/>
          </wp:cNvGraphicFramePr>
          <a:graphic>
            <a:graphicData uri="http://schemas.openxmlformats.org/drawingml/2006/picture">
              <pic:pic>
                <pic:nvPicPr>
                  <pic:cNvPr id="0" name="imperial-alfa-mark.png"/>
                  <pic:cNvPicPr/>
                </pic:nvPicPr>
                <pic:blipFill>
                  <a:blip r:embed="rId1"/>
                  <a:stretch>
                    <a:fillRect/>
                  </a:stretch>
                </pic:blipFill>
                <pic:spPr>
                  <a:xfrm>
                    <a:off x="0" y="0"/>
                    <a:ext cx="621792" cy="149001"/>
                  </a:xfrm>
                  <a:prstGeom prst="rect"/>
                </pic:spPr>
              </pic:pic>
            </a:graphicData>
          </a:graphic>
        </wp:inline>
      </w:drawing>
    </w:r>
    <w:r>
      <w:rPr>
        <w:rFonts w:ascii="Arial" w:hAnsi="Arial"/>
        <w:b w:val="0"/>
        <w:i w:val="0"/>
        <w:color w:val="888888"/>
        <w:sz w:val="16"/>
      </w:rPr>
      <w:t xml:space="preserve">   NEW VENTURES   /   FULL RESEARCH   /   31 AUGUST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rial" w:hAnsi="Arial"/>
      <w:color w:val="111111"/>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40"/>
      <w:outlineLvl w:val="0"/>
    </w:pPr>
    <w:rPr>
      <w:rFonts w:asciiTheme="majorHAnsi" w:eastAsiaTheme="majorEastAsia" w:hAnsiTheme="majorHAnsi" w:cstheme="majorBidi" w:ascii="Arial" w:hAnsi="Arial"/>
      <w:b/>
      <w:bCs/>
      <w:color w:val="111111"/>
      <w:sz w:val="36"/>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rial" w:hAnsi="Arial"/>
      <w:b/>
      <w:bCs/>
      <w:color w:val="111111"/>
      <w:sz w:val="26"/>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rial" w:hAnsi="Arial"/>
      <w:b/>
      <w:bCs/>
      <w:color w:val="555555"/>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200" w:line="240" w:lineRule="auto" w:before="0"/>
      <w:contextualSpacing/>
    </w:pPr>
    <w:rPr>
      <w:rFonts w:asciiTheme="majorHAnsi" w:eastAsiaTheme="majorEastAsia" w:hAnsiTheme="majorHAnsi" w:cstheme="majorBidi" w:ascii="Arial" w:hAnsi="Arial"/>
      <w:b/>
      <w:color w:val="111111"/>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Arial" w:hAnsi="Arial"/>
      <w:b w:val="0"/>
      <w:i/>
      <w:iCs/>
      <w:color w:val="555555"/>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59" w:lineRule="auto"/>
      <w:ind w:left="346" w:hanging="230"/>
      <w:contextualSpacing/>
    </w:pPr>
    <w:rPr>
      <w:rFonts w:ascii="Arial" w:hAnsi="Arial"/>
      <w:sz w:val="19"/>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59" w:lineRule="auto"/>
      <w:ind w:left="346" w:hanging="230"/>
      <w:contextualSpacing/>
    </w:pPr>
    <w:rPr>
      <w:rFonts w:ascii="Arial" w:hAnsi="Arial"/>
      <w:sz w:val="19"/>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icker">
    <w:name w:val="Kicker"/>
    <w:pPr>
      <w:spacing w:after="140"/>
    </w:pPr>
    <w:rPr>
      <w:rFonts w:ascii="Arial" w:hAnsi="Arial"/>
      <w:b/>
      <w:color w:val="888888"/>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KLIGO - Consolidated Deep Research</dc:title>
  <dc:subject>Consolidated Deep Research</dc:subject>
  <dc:creator>ALFA New Ventures</dc:creator>
  <cp:keywords>UAE, venture research, decision review, 2026</cp:keywords>
  <dc:description>Built from the controlling data register dated 31 August 2026.</dc:description>
  <cp:lastModifiedBy/>
  <cp:revision>1</cp:revision>
  <dcterms:created xsi:type="dcterms:W3CDTF">2013-12-23T23:15:00Z</dcterms:created>
  <dcterms:modified xsi:type="dcterms:W3CDTF">2013-12-23T23:15:00Z</dcterms:modified>
  <cp:category/>
</cp:coreProperties>
</file>