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800"/>
      </w:pPr>
      <w:r>
        <w:rPr>
          <w:rFonts w:ascii="Arial" w:hAnsi="Arial"/>
          <w:b/>
          <w:i w:val="0"/>
          <w:color w:val="888888"/>
          <w:sz w:val="16"/>
        </w:rPr>
        <w:t>V08  /  CONSOLIDATED DEEP RESEARCH</w:t>
      </w:r>
    </w:p>
    <w:p>
      <w:pPr>
        <w:pStyle w:val="Title"/>
        <w:spacing w:after="160"/>
      </w:pPr>
      <w:r>
        <w:t>Industrial Bakery</w:t>
      </w:r>
    </w:p>
    <w:p>
      <w:pPr>
        <w:keepNext w:val="0"/>
        <w:spacing w:after="360"/>
      </w:pPr>
      <w:r>
        <w:rPr>
          <w:rFonts w:ascii="Arial" w:hAnsi="Arial"/>
          <w:b/>
          <w:i w:val="0"/>
          <w:color w:val="555555"/>
          <w:sz w:val="20"/>
        </w:rPr>
        <w:t>B2B FOOD PRODUCTION</w:t>
      </w:r>
    </w:p>
    <w:p>
      <w:pPr>
        <w:keepNext w:val="0"/>
        <w:spacing w:after="480"/>
      </w:pPr>
      <w:r>
        <w:rPr>
          <w:rFonts w:ascii="Arial" w:hAnsi="Arial"/>
          <w:b w:val="0"/>
          <w:i w:val="0"/>
          <w:color w:val="252525"/>
          <w:sz w:val="30"/>
        </w:rPr>
        <w:t>A wholesale production platform; buyer volume and route economics come before equipment.</w:t>
      </w:r>
    </w:p>
    <w:p>
      <w:pPr>
        <w:spacing w:before="40" w:after="360"/>
        <w:pBdr>
          <w:bottom w:val="single" w:sz="8" w:space="1" w:color="111111"/>
        </w:pBdr>
      </w:pPr>
    </w:p>
    <w:p>
      <w:pPr>
        <w:spacing w:after="80"/>
      </w:pPr>
      <w:r>
        <w:rPr>
          <w:rFonts w:ascii="Arial" w:hAnsi="Arial"/>
          <w:b/>
          <w:i w:val="0"/>
          <w:color w:val="555555"/>
          <w:sz w:val="19"/>
        </w:rPr>
        <w:t xml:space="preserve">Geographic scope: </w:t>
      </w:r>
      <w:r>
        <w:rPr>
          <w:rFonts w:ascii="Arial" w:hAnsi="Arial"/>
          <w:b w:val="0"/>
          <w:i w:val="0"/>
          <w:color w:val="111111"/>
          <w:sz w:val="19"/>
        </w:rPr>
        <w:t>UAE; Sharjah base case</w:t>
      </w:r>
    </w:p>
    <w:p>
      <w:pPr>
        <w:spacing w:after="80"/>
      </w:pPr>
      <w:r>
        <w:rPr>
          <w:rFonts w:ascii="Arial" w:hAnsi="Arial"/>
          <w:b/>
          <w:i w:val="0"/>
          <w:color w:val="555555"/>
          <w:sz w:val="19"/>
        </w:rPr>
        <w:t xml:space="preserve">Data cut-off: </w:t>
      </w:r>
      <w:r>
        <w:rPr>
          <w:rFonts w:ascii="Arial" w:hAnsi="Arial"/>
          <w:b w:val="0"/>
          <w:i w:val="0"/>
          <w:color w:val="111111"/>
          <w:sz w:val="19"/>
        </w:rPr>
        <w:t>31 August 2026</w:t>
      </w:r>
    </w:p>
    <w:p>
      <w:pPr>
        <w:spacing w:after="80"/>
      </w:pPr>
      <w:r>
        <w:rPr>
          <w:rFonts w:ascii="Arial" w:hAnsi="Arial"/>
          <w:b/>
          <w:i w:val="0"/>
          <w:color w:val="555555"/>
          <w:sz w:val="19"/>
        </w:rPr>
        <w:t xml:space="preserve">Decision: </w:t>
      </w:r>
      <w:r>
        <w:rPr>
          <w:rFonts w:ascii="Arial" w:hAnsi="Arial"/>
          <w:b w:val="0"/>
          <w:i w:val="0"/>
          <w:color w:val="111111"/>
          <w:sz w:val="19"/>
        </w:rPr>
        <w:t>CONDITIONAL GO</w:t>
      </w:r>
    </w:p>
    <w:p>
      <w:pPr>
        <w:spacing w:after="80"/>
      </w:pPr>
      <w:r>
        <w:rPr>
          <w:rFonts w:ascii="Arial" w:hAnsi="Arial"/>
          <w:b/>
          <w:i w:val="0"/>
          <w:color w:val="555555"/>
          <w:sz w:val="19"/>
        </w:rPr>
        <w:t xml:space="preserve">Risk level: </w:t>
      </w:r>
      <w:r>
        <w:rPr>
          <w:rFonts w:ascii="Arial" w:hAnsi="Arial"/>
          <w:b w:val="0"/>
          <w:i w:val="0"/>
          <w:color w:val="111111"/>
          <w:sz w:val="19"/>
        </w:rPr>
        <w:t>High</w:t>
      </w:r>
    </w:p>
    <w:p>
      <w:pPr>
        <w:spacing w:after="80"/>
      </w:pPr>
      <w:r>
        <w:rPr>
          <w:rFonts w:ascii="Arial" w:hAnsi="Arial"/>
          <w:b/>
          <w:i w:val="0"/>
          <w:color w:val="555555"/>
          <w:sz w:val="19"/>
        </w:rPr>
        <w:t xml:space="preserve">Controlling source: </w:t>
      </w:r>
      <w:r>
        <w:rPr>
          <w:rFonts w:ascii="Arial" w:hAnsi="Arial"/>
          <w:b w:val="0"/>
          <w:i w:val="0"/>
          <w:color w:val="111111"/>
          <w:sz w:val="19"/>
        </w:rPr>
        <w:t>ALFA New Ventures Master Data Register v1.0</w:t>
      </w:r>
    </w:p>
    <w:p>
      <w:pPr>
        <w:keepNext w:val="0"/>
        <w:spacing w:after="480"/>
      </w:pPr>
      <w:r>
        <w:rPr>
          <w:rFonts w:ascii="Arial" w:hAnsi="Arial"/>
          <w:b w:val="0"/>
          <w:i/>
          <w:color w:val="888888"/>
          <w:sz w:val="18"/>
        </w:rPr>
        <w:t>Consolidated from completed research and locked evidence. Internal decision review.</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AED 344-447M</w:t>
            </w:r>
          </w:p>
          <w:p>
            <w:pPr>
              <w:spacing w:after="0"/>
            </w:pPr>
            <w:r>
              <w:rPr>
                <w:rFonts w:ascii="Arial" w:hAnsi="Arial"/>
                <w:b/>
                <w:i w:val="0"/>
                <w:color w:val="555555"/>
                <w:sz w:val="14"/>
              </w:rPr>
              <w:t>Retail-linked SAM</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3.5M</w:t>
            </w:r>
          </w:p>
          <w:p>
            <w:pPr>
              <w:spacing w:after="0"/>
            </w:pPr>
            <w:r>
              <w:rPr>
                <w:rFonts w:ascii="Arial" w:hAnsi="Arial"/>
                <w:b/>
                <w:i w:val="0"/>
                <w:color w:val="555555"/>
                <w:sz w:val="14"/>
              </w:rPr>
              <w:t>Initial deployment</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4.0-4.5M</w:t>
            </w:r>
          </w:p>
          <w:p>
            <w:pPr>
              <w:spacing w:after="0"/>
            </w:pPr>
            <w:r>
              <w:rPr>
                <w:rFonts w:ascii="Arial" w:hAnsi="Arial"/>
                <w:b/>
                <w:i w:val="0"/>
                <w:color w:val="555555"/>
                <w:sz w:val="14"/>
              </w:rPr>
              <w:t>Recommended committed capital</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12000</w:t>
            </w:r>
          </w:p>
          <w:p>
            <w:pPr>
              <w:spacing w:after="0"/>
            </w:pPr>
            <w:r>
              <w:rPr>
                <w:rFonts w:ascii="Arial" w:hAnsi="Arial"/>
                <w:b/>
                <w:i w:val="0"/>
                <w:color w:val="555555"/>
                <w:sz w:val="14"/>
              </w:rPr>
              <w:t>Base facility</w:t>
            </w:r>
          </w:p>
        </w:tc>
      </w:tr>
    </w:tbl>
    <w:p>
      <w:pPr>
        <w:spacing w:after="60"/>
      </w:pPr>
    </w:p>
    <w:p>
      <w:pPr>
        <w:keepNext w:val="0"/>
        <w:spacing w:after="80"/>
      </w:pPr>
      <w:r>
        <w:rPr>
          <w:rFonts w:ascii="Arial" w:hAnsi="Arial"/>
          <w:b/>
          <w:i w:val="0"/>
          <w:color w:val="888888"/>
          <w:sz w:val="16"/>
        </w:rPr>
        <w:t>Evidence rule</w:t>
      </w:r>
    </w:p>
    <w:p>
      <w:pPr>
        <w:keepNext w:val="0"/>
        <w:spacing w:after="0"/>
      </w:pPr>
      <w:r>
        <w:rPr>
          <w:rFonts w:ascii="Arial" w:hAnsi="Arial"/>
          <w:b w:val="0"/>
          <w:i w:val="0"/>
          <w:color w:val="555555"/>
          <w:sz w:val="18"/>
        </w:rPr>
        <w:t>Published facts, company-reported figures, calculations and modelled assumptions remain separately labelled. Missing quotations, contracts and live operating evidence have not been invented.</w:t>
      </w:r>
    </w:p>
    <w:p>
      <w:r>
        <w:br w:type="page"/>
      </w:r>
    </w:p>
    <w:p>
      <w:pPr>
        <w:pStyle w:val="Heading1"/>
      </w:pPr>
      <w:r>
        <w:t>Report map</w:t>
      </w:r>
    </w:p>
    <w:tbl>
      <w:tblPr>
        <w:tblStyle w:val="TableGrid"/>
        <w:tblW w:type="dxa" w:w="9640"/>
        <w:tblLayout w:type="fixed"/>
        <w:tblLook w:firstColumn="1" w:firstRow="1" w:lastColumn="0" w:lastRow="0" w:noHBand="0" w:noVBand="1" w:val="04A0"/>
        <w:jc w:val="left"/>
        <w:tblInd w:w="0" w:type="dxa"/>
      </w:tblPr>
      <w:tblGrid>
        <w:gridCol w:w="1300"/>
        <w:gridCol w:w="8340"/>
      </w:tblGrid>
      <w:tr>
        <w:trPr>
          <w:cantSplit/>
          <w:tblHeader w:val="true"/>
          <w:cantSplit/>
        </w:trPr>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8"/>
              </w:rPr>
              <w:t>SECTION</w:t>
            </w:r>
          </w:p>
        </w:tc>
        <w:tc>
          <w:tcPr>
            <w:tcW w:type="dxa" w:w="8340"/>
            <w:tcMar>
              <w:top w:w="90" w:type="dxa"/>
              <w:start w:w="120" w:type="dxa"/>
              <w:bottom w:w="90" w:type="dxa"/>
              <w:end w:w="120" w:type="dxa"/>
            </w:tcMar>
            <w:shd w:fill="111111"/>
            <w:vAlign w:val="center"/>
          </w:tcPr>
          <w:p>
            <w:pPr>
              <w:spacing w:after="0"/>
            </w:pPr>
            <w:r>
              <w:rPr>
                <w:rFonts w:ascii="Arial" w:hAnsi="Arial"/>
                <w:b/>
                <w:i w:val="0"/>
                <w:color w:val="FFFFFF"/>
                <w:sz w:val="18"/>
              </w:rPr>
              <w:t>CONTENT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01</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Decision and scope</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02</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Business model and market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03</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Commercial model, capital and returns</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04</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Operations, regulation and risks</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05</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Diligence, conflicts and evidence register</w:t>
            </w:r>
          </w:p>
        </w:tc>
      </w:tr>
    </w:tbl>
    <w:p>
      <w:pPr>
        <w:spacing w:after="40"/>
      </w:pPr>
    </w:p>
    <w:p>
      <w:pPr>
        <w:keepNext w:val="0"/>
        <w:spacing w:after="120"/>
      </w:pPr>
      <w:r>
        <w:rPr>
          <w:rFonts w:ascii="Arial" w:hAnsi="Arial"/>
          <w:b w:val="0"/>
          <w:i w:val="0"/>
          <w:color w:val="555555"/>
          <w:sz w:val="18"/>
        </w:rPr>
        <w:t>Use Word's navigation pane to move through the heading hierarchy. Every material figure is repeated in the claim register with its evidence classification and source reference.</w:t>
      </w:r>
    </w:p>
    <w:p>
      <w:pPr>
        <w:pStyle w:val="Heading1"/>
      </w:pPr>
      <w:r>
        <w:t>Executive summary</w:t>
      </w:r>
    </w:p>
    <w:p>
      <w:pPr>
        <w:keepNext w:val="0"/>
        <w:spacing w:after="200"/>
      </w:pPr>
      <w:r>
        <w:rPr>
          <w:rFonts w:ascii="Arial" w:hAnsi="Arial"/>
          <w:b w:val="0"/>
          <w:i w:val="0"/>
          <w:color w:val="111111"/>
          <w:sz w:val="22"/>
        </w:rPr>
        <w:t>The bakery is a B2B wholesale production platform, not a retail cafe. Buyer commitments, product trials, shelf life, route economics and working capital must be proven before equipment is commissioned.</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AED 344-447M</w:t>
            </w:r>
          </w:p>
          <w:p>
            <w:pPr>
              <w:spacing w:after="0"/>
            </w:pPr>
            <w:r>
              <w:rPr>
                <w:rFonts w:ascii="Arial" w:hAnsi="Arial"/>
                <w:b/>
                <w:i w:val="0"/>
                <w:color w:val="555555"/>
                <w:sz w:val="14"/>
              </w:rPr>
              <w:t>Retail-linked SAM</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3.5M</w:t>
            </w:r>
          </w:p>
          <w:p>
            <w:pPr>
              <w:spacing w:after="0"/>
            </w:pPr>
            <w:r>
              <w:rPr>
                <w:rFonts w:ascii="Arial" w:hAnsi="Arial"/>
                <w:b/>
                <w:i w:val="0"/>
                <w:color w:val="555555"/>
                <w:sz w:val="14"/>
              </w:rPr>
              <w:t>Initial deployment</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4.0-4.5M</w:t>
            </w:r>
          </w:p>
          <w:p>
            <w:pPr>
              <w:spacing w:after="0"/>
            </w:pPr>
            <w:r>
              <w:rPr>
                <w:rFonts w:ascii="Arial" w:hAnsi="Arial"/>
                <w:b/>
                <w:i w:val="0"/>
                <w:color w:val="555555"/>
                <w:sz w:val="14"/>
              </w:rPr>
              <w:t>Recommended committed capital</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12000</w:t>
            </w:r>
          </w:p>
          <w:p>
            <w:pPr>
              <w:spacing w:after="0"/>
            </w:pPr>
            <w:r>
              <w:rPr>
                <w:rFonts w:ascii="Arial" w:hAnsi="Arial"/>
                <w:b/>
                <w:i w:val="0"/>
                <w:color w:val="555555"/>
                <w:sz w:val="14"/>
              </w:rPr>
              <w:t>Base facility</w:t>
            </w:r>
          </w:p>
        </w:tc>
      </w:tr>
    </w:tbl>
    <w:p>
      <w:pPr>
        <w:spacing w:after="60"/>
      </w:pPr>
    </w:p>
    <w:tbl>
      <w:tblPr>
        <w:tblStyle w:val="TableGrid"/>
        <w:tblW w:type="dxa" w:w="9640"/>
        <w:tblLayout w:type="fixed"/>
        <w:tblLook w:firstColumn="1" w:firstRow="1" w:lastColumn="0" w:lastRow="0" w:noHBand="0" w:noVBand="1" w:val="04A0"/>
        <w:jc w:val="left"/>
        <w:tblInd w:w="0" w:type="dxa"/>
      </w:tblPr>
      <w:tblGrid>
        <w:gridCol w:w="2300"/>
        <w:gridCol w:w="73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7"/>
              </w:rPr>
              <w:t>DECISION ITEM</w:t>
            </w:r>
          </w:p>
        </w:tc>
        <w:tc>
          <w:tcPr>
            <w:tcW w:type="dxa" w:w="7340"/>
            <w:tcMar>
              <w:top w:w="90" w:type="dxa"/>
              <w:start w:w="120" w:type="dxa"/>
              <w:bottom w:w="90" w:type="dxa"/>
              <w:end w:w="120" w:type="dxa"/>
            </w:tcMar>
            <w:shd w:fill="111111"/>
            <w:vAlign w:val="center"/>
          </w:tcPr>
          <w:p>
            <w:pPr>
              <w:spacing w:after="0"/>
            </w:pPr>
            <w:r>
              <w:rPr>
                <w:rFonts w:ascii="Arial" w:hAnsi="Arial"/>
                <w:b/>
                <w:i w:val="0"/>
                <w:color w:val="FFFFFF"/>
                <w:sz w:val="17"/>
              </w:rPr>
              <w:t>LOCKED POSITION</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Decision</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CONDITIONAL GO</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Preferred model</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Commission a staged wholesale bakery only after product trials and buyer commitments validate price, volume, shelf life and route economics.</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Gate before commitment</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Buyer LOIs, equipment/facility quotes, working-capital headroom and a reconciled monthly financial model are required.</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Source status</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Standalone deep research completed; formal consolidated document pending.</w:t>
            </w:r>
          </w:p>
        </w:tc>
      </w:tr>
    </w:tbl>
    <w:p>
      <w:pPr>
        <w:spacing w:after="40"/>
      </w:pPr>
    </w:p>
    <w:p>
      <w:pPr>
        <w:pStyle w:val="Heading2"/>
      </w:pPr>
      <w:r>
        <w:t>Principal advantages</w:t>
      </w:r>
    </w:p>
    <w:p>
      <w:pPr>
        <w:pStyle w:val="ListBullet"/>
      </w:pPr>
      <w:r>
        <w:t>A wholesale production platform; buyer volume and route economics come before equipment.</w:t>
      </w:r>
    </w:p>
    <w:p>
      <w:pPr>
        <w:pStyle w:val="ListBullet"/>
      </w:pPr>
      <w:r>
        <w:t>Sharjah is the base planning case. The facility decision must follow buyer geography, delivery routes, utilities, approvals and total occupation cost.</w:t>
      </w:r>
    </w:p>
    <w:p>
      <w:pPr>
        <w:pStyle w:val="ListBullet"/>
      </w:pPr>
      <w:r>
        <w:t>The selected entry model is: Commission a staged wholesale bakery only after product trials and buyer commitments validate price, volume, shelf life and route economics.</w:t>
      </w:r>
    </w:p>
    <w:p>
      <w:pPr>
        <w:pStyle w:val="Heading2"/>
      </w:pPr>
      <w:r>
        <w:t>Principal weaknesses</w:t>
      </w:r>
    </w:p>
    <w:p>
      <w:pPr>
        <w:pStyle w:val="ListBullet"/>
      </w:pPr>
      <w:r>
        <w:t>Equipment before buyer demand</w:t>
      </w:r>
    </w:p>
    <w:p>
      <w:pPr>
        <w:pStyle w:val="ListBullet"/>
      </w:pPr>
      <w:r>
        <w:t>Low gross contribution after route costs</w:t>
      </w:r>
    </w:p>
    <w:p>
      <w:pPr>
        <w:pStyle w:val="ListBullet"/>
      </w:pPr>
      <w:r>
        <w:t>Waste, returns and shelf-life loss</w:t>
      </w:r>
    </w:p>
    <w:p>
      <w:pPr>
        <w:pStyle w:val="ListBullet"/>
      </w:pPr>
      <w:r>
        <w:t>Working-capital pressure and delayed customer payment</w:t>
      </w:r>
    </w:p>
    <w:p>
      <w:r>
        <w:br w:type="page"/>
      </w:r>
    </w:p>
    <w:p>
      <w:pPr>
        <w:pStyle w:val="Heading1"/>
      </w:pPr>
      <w:r>
        <w:t>Research scope and business model</w:t>
      </w:r>
    </w:p>
    <w:p>
      <w:pPr>
        <w:keepNext w:val="0"/>
        <w:spacing w:after="120"/>
      </w:pPr>
      <w:r>
        <w:rPr>
          <w:rFonts w:ascii="Arial" w:hAnsi="Arial"/>
          <w:b w:val="0"/>
          <w:i w:val="0"/>
          <w:color w:val="111111"/>
          <w:sz w:val="20"/>
        </w:rPr>
        <w:t>This report formalises the locked decision case for Industrial Bakery. It preserves the current evidence boundary and identifies the commercial proof required before commitment.</w:t>
      </w:r>
    </w:p>
    <w:p>
      <w:pPr>
        <w:pStyle w:val="Heading2"/>
      </w:pPr>
      <w:r>
        <w:t>Customer groups</w:t>
      </w:r>
    </w:p>
    <w:p>
      <w:pPr>
        <w:pStyle w:val="ListBullet"/>
      </w:pPr>
      <w:r>
        <w:t>Supermarkets</w:t>
      </w:r>
    </w:p>
    <w:p>
      <w:pPr>
        <w:pStyle w:val="ListBullet"/>
      </w:pPr>
      <w:r>
        <w:t>Hotels and restaurants</w:t>
      </w:r>
    </w:p>
    <w:p>
      <w:pPr>
        <w:pStyle w:val="ListBullet"/>
      </w:pPr>
      <w:r>
        <w:t>Caterers</w:t>
      </w:r>
    </w:p>
    <w:p>
      <w:pPr>
        <w:pStyle w:val="ListBullet"/>
      </w:pPr>
      <w:r>
        <w:t>Food distributors</w:t>
      </w:r>
    </w:p>
    <w:p>
      <w:pPr>
        <w:pStyle w:val="Heading2"/>
      </w:pPr>
      <w:r>
        <w:t>Products or operating segments</w:t>
      </w:r>
    </w:p>
    <w:p>
      <w:pPr>
        <w:pStyle w:val="ListBullet"/>
      </w:pPr>
      <w:r>
        <w:t>Levantine flatbreads</w:t>
      </w:r>
    </w:p>
    <w:p>
      <w:pPr>
        <w:pStyle w:val="ListBullet"/>
      </w:pPr>
      <w:r>
        <w:t>Pita, lafa and taboon</w:t>
      </w:r>
    </w:p>
    <w:p>
      <w:pPr>
        <w:pStyle w:val="ListBullet"/>
      </w:pPr>
      <w:r>
        <w:t>Buns, rolls, baguettes and challah</w:t>
      </w:r>
    </w:p>
    <w:p>
      <w:pPr>
        <w:pStyle w:val="ListBullet"/>
      </w:pPr>
      <w:r>
        <w:t>Private-label or contract production where validated</w:t>
      </w:r>
    </w:p>
    <w:p>
      <w:pPr>
        <w:pStyle w:val="Heading2"/>
      </w:pPr>
      <w:r>
        <w:t>Revenue model</w:t>
      </w:r>
    </w:p>
    <w:p>
      <w:pPr>
        <w:pStyle w:val="ListBullet"/>
      </w:pPr>
      <w:r>
        <w:t>Wholesale product sales</w:t>
      </w:r>
    </w:p>
    <w:p>
      <w:pPr>
        <w:pStyle w:val="ListBullet"/>
      </w:pPr>
      <w:r>
        <w:t>Distributor contracts</w:t>
      </w:r>
    </w:p>
    <w:p>
      <w:pPr>
        <w:pStyle w:val="ListBullet"/>
      </w:pPr>
      <w:r>
        <w:t>Hospitality and catering supply</w:t>
      </w:r>
    </w:p>
    <w:p>
      <w:pPr>
        <w:pStyle w:val="ListBullet"/>
      </w:pPr>
      <w:r>
        <w:t>Private-label production where contracted</w:t>
      </w:r>
    </w:p>
    <w:p>
      <w:pPr>
        <w:pStyle w:val="Heading2"/>
      </w:pPr>
      <w:r>
        <w:t>Preferred entry model</w:t>
      </w:r>
    </w:p>
    <w:p>
      <w:pPr>
        <w:keepNext w:val="0"/>
        <w:spacing w:after="120"/>
      </w:pPr>
      <w:r>
        <w:rPr>
          <w:rFonts w:ascii="Arial" w:hAnsi="Arial"/>
          <w:b w:val="0"/>
          <w:i w:val="0"/>
          <w:color w:val="111111"/>
          <w:sz w:val="20"/>
        </w:rPr>
        <w:t>Commission a staged wholesale bakery only after product trials and buyer commitments validate price, volume, shelf life and route economics.</w:t>
      </w:r>
    </w:p>
    <w:p>
      <w:pPr>
        <w:pStyle w:val="Heading2"/>
      </w:pPr>
      <w:r>
        <w:t>Location logic</w:t>
      </w:r>
    </w:p>
    <w:p>
      <w:pPr>
        <w:keepNext w:val="0"/>
        <w:spacing w:after="120"/>
      </w:pPr>
      <w:r>
        <w:rPr>
          <w:rFonts w:ascii="Arial" w:hAnsi="Arial"/>
          <w:b w:val="0"/>
          <w:i w:val="0"/>
          <w:color w:val="111111"/>
          <w:sz w:val="20"/>
        </w:rPr>
        <w:t>Sharjah is the base planning case. The facility decision must follow buyer geography, delivery routes, utilities, approvals and total occupation cost.</w:t>
      </w:r>
    </w:p>
    <w:p>
      <w:pPr>
        <w:pStyle w:val="Heading1"/>
      </w:pPr>
      <w:r>
        <w:t>Market and demand</w:t>
      </w:r>
    </w:p>
    <w:p>
      <w:pPr>
        <w:keepNext w:val="0"/>
        <w:spacing w:after="80"/>
      </w:pPr>
      <w:r>
        <w:rPr>
          <w:rFonts w:ascii="Arial" w:hAnsi="Arial"/>
          <w:b w:val="0"/>
          <w:i w:val="0"/>
          <w:color w:val="111111"/>
          <w:sz w:val="19"/>
        </w:rPr>
        <w:t>Conservative retail-linked manufacturer-revenue SAM: approximately AED344-447M.</w:t>
      </w:r>
    </w:p>
    <w:p>
      <w:pPr>
        <w:pStyle w:val="Heading2"/>
      </w:pPr>
      <w:r>
        <w:t>Competition and positioning</w:t>
      </w:r>
    </w:p>
    <w:p>
      <w:pPr>
        <w:keepNext w:val="0"/>
        <w:spacing w:after="120"/>
      </w:pPr>
      <w:r>
        <w:rPr>
          <w:rFonts w:ascii="Arial" w:hAnsi="Arial"/>
          <w:b w:val="0"/>
          <w:i w:val="0"/>
          <w:color w:val="111111"/>
          <w:sz w:val="20"/>
        </w:rPr>
        <w:t>A complete live competitor, pricing and capacity schedule is not contained in the controlling register. Competitive positioning must therefore be validated against current operators, current assets and current customer quotations before commitment.</w:t>
      </w:r>
    </w:p>
    <w:p>
      <w:r>
        <w:br w:type="page"/>
      </w:r>
    </w:p>
    <w:p>
      <w:pPr>
        <w:pStyle w:val="Heading1"/>
      </w:pPr>
      <w:r>
        <w:t>Pricing, revenue, CAPEX and returns</w:t>
      </w:r>
    </w:p>
    <w:tbl>
      <w:tblPr>
        <w:tblStyle w:val="TableGrid"/>
        <w:tblW w:type="dxa" w:w="9640"/>
        <w:tblLayout w:type="fixed"/>
        <w:tblLook w:firstColumn="1" w:firstRow="1" w:lastColumn="0" w:lastRow="0" w:noHBand="0" w:noVBand="1" w:val="04A0"/>
        <w:jc w:val="left"/>
        <w:tblInd w:w="0" w:type="dxa"/>
      </w:tblPr>
      <w:tblGrid>
        <w:gridCol w:w="2300"/>
        <w:gridCol w:w="1450"/>
        <w:gridCol w:w="1100"/>
        <w:gridCol w:w="1450"/>
        <w:gridCol w:w="2300"/>
        <w:gridCol w:w="10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UNIT</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040"/>
            <w:tcMar>
              <w:top w:w="90" w:type="dxa"/>
              <w:start w:w="120" w:type="dxa"/>
              <w:bottom w:w="90" w:type="dxa"/>
              <w:end w:w="120" w:type="dxa"/>
            </w:tcMar>
            <w:shd w:fill="111111"/>
            <w:vAlign w:val="center"/>
          </w:tcPr>
          <w:p>
            <w:pPr>
              <w:spacing w:after="0"/>
            </w:pPr>
            <w:r>
              <w:rPr>
                <w:rFonts w:ascii="Arial" w:hAnsi="Arial"/>
                <w:b/>
                <w:i w:val="0"/>
                <w:color w:val="FFFFFF"/>
                <w:sz w:val="14"/>
              </w:rPr>
              <w:t>SOURCE</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Initial deployment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3.5M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Internal plan</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S12/S13</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Recommended committed capital</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4.0-4.5M</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 recommendation</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S12</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Base facility</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12000</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sq ft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Internal plan</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S12/S13</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Initial operating team</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19</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employees</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Internal plan</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S12/S13</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Revenue Years 1-3</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2.3M / 4.2M / 6.8M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AED/year</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Years 1-3</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S12/S13</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Annual revenue threshold</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3.1-3.5M</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AED/year</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Mature base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S12</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Month-14 target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Plausible, not validated</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timing</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Internal plan</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S12</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Five-year IRR - downside/base/upside</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approximately -4% / 20% / 34%</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S12</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Operating cash payback</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More than five years</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years</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S12</w:t>
            </w:r>
          </w:p>
        </w:tc>
      </w:tr>
    </w:tbl>
    <w:p>
      <w:pPr>
        <w:spacing w:after="40"/>
      </w:pPr>
    </w:p>
    <w:p>
      <w:pPr>
        <w:keepNext w:val="0"/>
        <w:spacing w:after="120"/>
      </w:pPr>
      <w:r>
        <w:rPr>
          <w:rFonts w:ascii="Arial" w:hAnsi="Arial"/>
          <w:b w:val="0"/>
          <w:i/>
          <w:color w:val="555555"/>
          <w:sz w:val="17"/>
        </w:rPr>
        <w:t>All model outputs remain conditional on the underlying transaction, quotation or operating assumptions. No modelled return is a guaranteed result.</w:t>
      </w:r>
    </w:p>
    <w:p>
      <w:pPr>
        <w:pStyle w:val="Heading2"/>
      </w:pPr>
      <w:r>
        <w:t>Revenue drivers</w:t>
      </w:r>
    </w:p>
    <w:p>
      <w:pPr>
        <w:pStyle w:val="ListBullet"/>
      </w:pPr>
      <w:r>
        <w:t>Internal revenue plan: AED2.3M, AED4.2M and AED6.8M in Years 1-3.</w:t>
      </w:r>
    </w:p>
    <w:p>
      <w:pPr>
        <w:pStyle w:val="ListBullet"/>
      </w:pPr>
      <w:r>
        <w:t>Modelled operating break-even: approximately AED3.1-3.5M annual revenue.</w:t>
      </w:r>
    </w:p>
    <w:p>
      <w:pPr>
        <w:pStyle w:val="Heading2"/>
      </w:pPr>
      <w:r>
        <w:t>Cost and return limitations</w:t>
      </w:r>
    </w:p>
    <w:p>
      <w:pPr>
        <w:pStyle w:val="ListBullet"/>
      </w:pPr>
      <w:r>
        <w:t>Excludes foodservice and is not factory revenue already captured.</w:t>
      </w:r>
    </w:p>
    <w:p>
      <w:pPr>
        <w:pStyle w:val="ListBullet"/>
      </w:pPr>
      <w:r>
        <w:t>Possible but tight.</w:t>
      </w:r>
    </w:p>
    <w:p>
      <w:pPr>
        <w:pStyle w:val="ListBullet"/>
      </w:pPr>
      <w:r>
        <w:t>Provides working-capital headroom while initial deployment may remain approximately AED3.5M.</w:t>
      </w:r>
    </w:p>
    <w:p>
      <w:pPr>
        <w:pStyle w:val="ListBullet"/>
      </w:pPr>
      <w:r>
        <w:t>Live property quotation required.</w:t>
      </w:r>
    </w:p>
    <w:p>
      <w:pPr>
        <w:pStyle w:val="ListBullet"/>
      </w:pPr>
      <w:r>
        <w:t>Employment quotations required.</w:t>
      </w:r>
    </w:p>
    <w:p>
      <w:pPr>
        <w:pStyle w:val="ListBullet"/>
      </w:pPr>
      <w:r>
        <w:t>Not commercial results.</w:t>
      </w:r>
    </w:p>
    <w:p>
      <w:pPr>
        <w:pStyle w:val="ListBullet"/>
      </w:pPr>
      <w:r>
        <w:t>Monthly phasing required.</w:t>
      </w:r>
    </w:p>
    <w:p>
      <w:r>
        <w:br w:type="page"/>
      </w:r>
    </w:p>
    <w:p>
      <w:pPr>
        <w:pStyle w:val="Heading1"/>
      </w:pPr>
      <w:r>
        <w:t>Operating requirements</w:t>
      </w:r>
    </w:p>
    <w:p>
      <w:pPr>
        <w:pStyle w:val="ListBullet"/>
      </w:pPr>
      <w:r>
        <w:t>Facility, equipment and commissioning</w:t>
      </w:r>
    </w:p>
    <w:p>
      <w:pPr>
        <w:pStyle w:val="ListBullet"/>
      </w:pPr>
      <w:r>
        <w:t>Food-safety and quality systems</w:t>
      </w:r>
    </w:p>
    <w:p>
      <w:pPr>
        <w:pStyle w:val="ListBullet"/>
      </w:pPr>
      <w:r>
        <w:t>Production planning and packaging</w:t>
      </w:r>
    </w:p>
    <w:p>
      <w:pPr>
        <w:pStyle w:val="ListBullet"/>
      </w:pPr>
      <w:r>
        <w:t>Seven-day route-to-market and returns control</w:t>
      </w:r>
    </w:p>
    <w:p>
      <w:pPr>
        <w:pStyle w:val="Heading1"/>
      </w:pPr>
      <w:r>
        <w:t>Regulation and licensing</w:t>
      </w:r>
    </w:p>
    <w:p>
      <w:pPr>
        <w:keepNext w:val="0"/>
        <w:spacing w:after="120"/>
      </w:pPr>
      <w:r>
        <w:rPr>
          <w:rFonts w:ascii="Arial" w:hAnsi="Arial"/>
          <w:b w:val="0"/>
          <w:i w:val="0"/>
          <w:color w:val="111111"/>
          <w:sz w:val="20"/>
        </w:rPr>
        <w:t>Food establishment, municipality, product, labelling, food-safety and staff requirements must be confirmed for the selected emirate and facility.</w:t>
      </w:r>
    </w:p>
    <w:p>
      <w:pPr>
        <w:pStyle w:val="Heading1"/>
      </w:pPr>
      <w:r>
        <w:t>Risk register</w:t>
      </w:r>
    </w:p>
    <w:tbl>
      <w:tblPr>
        <w:tblStyle w:val="TableGrid"/>
        <w:tblW w:type="dxa" w:w="9640"/>
        <w:tblLayout w:type="fixed"/>
        <w:tblLook w:firstColumn="1" w:firstRow="1" w:lastColumn="0" w:lastRow="0" w:noHBand="0" w:noVBand="1" w:val="04A0"/>
        <w:jc w:val="left"/>
        <w:tblInd w:w="0" w:type="dxa"/>
      </w:tblPr>
      <w:tblGrid>
        <w:gridCol w:w="700"/>
        <w:gridCol w:w="3600"/>
        <w:gridCol w:w="1700"/>
        <w:gridCol w:w="3640"/>
      </w:tblGrid>
      <w:tr>
        <w:trPr>
          <w:cantSplit/>
          <w:tblHeader w:val="true"/>
          <w:cantSplit/>
        </w:trPr>
        <w:tc>
          <w:tcPr>
            <w:tcW w:type="dxa" w:w="700"/>
            <w:tcMar>
              <w:top w:w="90" w:type="dxa"/>
              <w:start w:w="120" w:type="dxa"/>
              <w:bottom w:w="90" w:type="dxa"/>
              <w:end w:w="120" w:type="dxa"/>
            </w:tcMar>
            <w:shd w:fill="111111"/>
            <w:vAlign w:val="center"/>
          </w:tcPr>
          <w:p>
            <w:pPr>
              <w:spacing w:after="0"/>
            </w:pPr>
            <w:r>
              <w:rPr>
                <w:rFonts w:ascii="Arial" w:hAnsi="Arial"/>
                <w:b/>
                <w:i w:val="0"/>
                <w:color w:val="FFFFFF"/>
                <w:sz w:val="16"/>
              </w:rPr>
              <w:t>ID</w:t>
            </w:r>
          </w:p>
        </w:tc>
        <w:tc>
          <w:tcPr>
            <w:tcW w:type="dxa" w:w="3600"/>
            <w:tcMar>
              <w:top w:w="90" w:type="dxa"/>
              <w:start w:w="120" w:type="dxa"/>
              <w:bottom w:w="90" w:type="dxa"/>
              <w:end w:w="120" w:type="dxa"/>
            </w:tcMar>
            <w:shd w:fill="111111"/>
            <w:vAlign w:val="center"/>
          </w:tcPr>
          <w:p>
            <w:pPr>
              <w:spacing w:after="0"/>
            </w:pPr>
            <w:r>
              <w:rPr>
                <w:rFonts w:ascii="Arial" w:hAnsi="Arial"/>
                <w:b/>
                <w:i w:val="0"/>
                <w:color w:val="FFFFFF"/>
                <w:sz w:val="16"/>
              </w:rPr>
              <w:t>RISK</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6"/>
              </w:rPr>
              <w:t>CURRENT LEVEL</w:t>
            </w:r>
          </w:p>
        </w:tc>
        <w:tc>
          <w:tcPr>
            <w:tcW w:type="dxa" w:w="3640"/>
            <w:tcMar>
              <w:top w:w="90" w:type="dxa"/>
              <w:start w:w="120" w:type="dxa"/>
              <w:bottom w:w="90" w:type="dxa"/>
              <w:end w:w="120" w:type="dxa"/>
            </w:tcMar>
            <w:shd w:fill="111111"/>
            <w:vAlign w:val="center"/>
          </w:tcPr>
          <w:p>
            <w:pPr>
              <w:spacing w:after="0"/>
            </w:pPr>
            <w:r>
              <w:rPr>
                <w:rFonts w:ascii="Arial" w:hAnsi="Arial"/>
                <w:b/>
                <w:i w:val="0"/>
                <w:color w:val="FFFFFF"/>
                <w:sz w:val="16"/>
              </w:rPr>
              <w:t>CONTROL</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R01</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Equipment before buyer demand</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Hold commitment until the decision gate is evidenced.</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R02</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Low gross contribution after route costs</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Use separate models and approval thresholds.</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R03</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Waste, returns and shelf-life loss</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Obtain written quotations, contracts and technical review.</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R04</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Working-capital pressure and delayed customer payment</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Run legal, operating and counterparty diligence before scale.</w:t>
            </w:r>
          </w:p>
        </w:tc>
      </w:tr>
    </w:tbl>
    <w:p>
      <w:pPr>
        <w:spacing w:after="40"/>
      </w:pPr>
    </w:p>
    <w:p>
      <w:pPr>
        <w:pStyle w:val="Heading1"/>
      </w:pPr>
      <w:r>
        <w:t>Recommendation</w:t>
      </w:r>
    </w:p>
    <w:p>
      <w:pPr>
        <w:keepNext w:val="0"/>
        <w:spacing w:after="160"/>
      </w:pPr>
      <w:r>
        <w:rPr>
          <w:rFonts w:ascii="Arial" w:hAnsi="Arial"/>
          <w:b/>
          <w:i w:val="0"/>
          <w:color w:val="111111"/>
          <w:sz w:val="32"/>
        </w:rPr>
        <w:t>CONDITIONAL GO</w:t>
      </w:r>
    </w:p>
    <w:p>
      <w:pPr>
        <w:keepNext w:val="0"/>
        <w:spacing w:after="120"/>
      </w:pPr>
      <w:r>
        <w:rPr>
          <w:rFonts w:ascii="Arial" w:hAnsi="Arial"/>
          <w:b w:val="0"/>
          <w:i w:val="0"/>
          <w:color w:val="111111"/>
          <w:sz w:val="20"/>
        </w:rPr>
        <w:t>Commission a staged wholesale bakery only after product trials and buyer commitments validate price, volume, shelf life and route economics.</w:t>
      </w:r>
    </w:p>
    <w:p>
      <w:pPr>
        <w:keepNext w:val="0"/>
        <w:spacing w:after="120"/>
      </w:pPr>
      <w:r>
        <w:rPr>
          <w:rFonts w:ascii="Arial" w:hAnsi="Arial"/>
          <w:b/>
          <w:i w:val="0"/>
          <w:color w:val="111111"/>
          <w:sz w:val="20"/>
        </w:rPr>
        <w:t>Condition before commitment: Buyer LOIs, equipment/facility quotes, working-capital headroom and a reconciled monthly financial model are required.</w:t>
      </w:r>
    </w:p>
    <w:p>
      <w:r>
        <w:br w:type="page"/>
      </w:r>
    </w:p>
    <w:p>
      <w:pPr>
        <w:pStyle w:val="Heading1"/>
      </w:pPr>
      <w:r>
        <w:t>Missing information and due diligence</w:t>
      </w:r>
    </w:p>
    <w:tbl>
      <w:tblPr>
        <w:tblStyle w:val="TableGrid"/>
        <w:tblW w:type="dxa" w:w="9640"/>
        <w:tblLayout w:type="fixed"/>
        <w:tblLook w:firstColumn="1" w:firstRow="1" w:lastColumn="0" w:lastRow="0" w:noHBand="0" w:noVBand="1" w:val="04A0"/>
        <w:jc w:val="left"/>
        <w:tblInd w:w="0" w:type="dxa"/>
      </w:tblPr>
      <w:tblGrid>
        <w:gridCol w:w="3400"/>
        <w:gridCol w:w="2200"/>
        <w:gridCol w:w="1700"/>
        <w:gridCol w:w="2340"/>
      </w:tblGrid>
      <w:tr>
        <w:trPr>
          <w:cantSplit/>
          <w:tblHeader w:val="true"/>
          <w:cantSplit/>
        </w:trPr>
        <w:tc>
          <w:tcPr>
            <w:tcW w:type="dxa" w:w="3400"/>
            <w:tcMar>
              <w:top w:w="90" w:type="dxa"/>
              <w:start w:w="120" w:type="dxa"/>
              <w:bottom w:w="90" w:type="dxa"/>
              <w:end w:w="120" w:type="dxa"/>
            </w:tcMar>
            <w:shd w:fill="111111"/>
            <w:vAlign w:val="center"/>
          </w:tcPr>
          <w:p>
            <w:pPr>
              <w:spacing w:after="0"/>
            </w:pPr>
            <w:r>
              <w:rPr>
                <w:rFonts w:ascii="Arial" w:hAnsi="Arial"/>
                <w:b/>
                <w:i w:val="0"/>
                <w:color w:val="FFFFFF"/>
                <w:sz w:val="15"/>
              </w:rPr>
              <w:t>DOCUMENT</w:t>
            </w:r>
          </w:p>
        </w:tc>
        <w:tc>
          <w:tcPr>
            <w:tcW w:type="dxa" w:w="2200"/>
            <w:tcMar>
              <w:top w:w="90" w:type="dxa"/>
              <w:start w:w="120" w:type="dxa"/>
              <w:bottom w:w="90" w:type="dxa"/>
              <w:end w:w="120" w:type="dxa"/>
            </w:tcMar>
            <w:shd w:fill="111111"/>
            <w:vAlign w:val="center"/>
          </w:tcPr>
          <w:p>
            <w:pPr>
              <w:spacing w:after="0"/>
            </w:pPr>
            <w:r>
              <w:rPr>
                <w:rFonts w:ascii="Arial" w:hAnsi="Arial"/>
                <w:b/>
                <w:i w:val="0"/>
                <w:color w:val="FFFFFF"/>
                <w:sz w:val="15"/>
              </w:rPr>
              <w:t>STATUS</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5"/>
              </w:rPr>
              <w:t>LAYER</w:t>
            </w:r>
          </w:p>
        </w:tc>
        <w:tc>
          <w:tcPr>
            <w:tcW w:type="dxa" w:w="2340"/>
            <w:tcMar>
              <w:top w:w="90" w:type="dxa"/>
              <w:start w:w="120" w:type="dxa"/>
              <w:bottom w:w="90" w:type="dxa"/>
              <w:end w:w="120" w:type="dxa"/>
            </w:tcMar>
            <w:shd w:fill="111111"/>
            <w:vAlign w:val="center"/>
          </w:tcPr>
          <w:p>
            <w:pPr>
              <w:spacing w:after="0"/>
            </w:pPr>
            <w:r>
              <w:rPr>
                <w:rFonts w:ascii="Arial" w:hAnsi="Arial"/>
                <w:b/>
                <w:i w:val="0"/>
                <w:color w:val="FFFFFF"/>
                <w:sz w:val="15"/>
              </w:rPr>
              <w:t>REQUIRED ACTION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Standalone Deep Research</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Research output available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Phase 2</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Create formal DOCX/PDF</w:t>
            </w:r>
          </w:p>
        </w:tc>
      </w:tr>
      <w:tr>
        <w:trPr>
          <w:cantSplit/>
          <w:cantSplit/>
        </w:trPr>
        <w:tc>
          <w:tcPr>
            <w:tcW w:type="dxa" w:w="3400"/>
            <w:shd w:fill="FFFFFF"/>
            <w:vAlign w:val="top"/>
            <w:tcMar>
              <w:top w:w="90" w:type="dxa"/>
              <w:start w:w="120" w:type="dxa"/>
              <w:bottom w:w="90" w:type="dxa"/>
              <w:end w:w="120" w:type="dxa"/>
            </w:tcMar>
          </w:tcPr>
          <w:p>
            <w:pPr>
              <w:spacing w:after="0"/>
            </w:pPr>
            <w:r>
              <w:rPr>
                <w:rFonts w:ascii="Arial" w:hAnsi="Arial"/>
                <w:b/>
                <w:i w:val="0"/>
                <w:color w:val="111111"/>
                <w:sz w:val="15"/>
              </w:rPr>
              <w:t>Buyer Trial, Quotation and Monthly Model Pack</w:t>
            </w:r>
          </w:p>
        </w:tc>
        <w:tc>
          <w:tcPr>
            <w:tcW w:type="dxa" w:w="2200"/>
            <w:shd w:fill="FFFFFF"/>
            <w:vAlign w:val="top"/>
            <w:tcMar>
              <w:top w:w="90" w:type="dxa"/>
              <w:start w:w="120" w:type="dxa"/>
              <w:bottom w:w="90" w:type="dxa"/>
              <w:end w:w="120" w:type="dxa"/>
            </w:tcMar>
          </w:tcPr>
          <w:p>
            <w:pPr>
              <w:spacing w:after="0"/>
            </w:pPr>
            <w:r>
              <w:rPr>
                <w:rFonts w:ascii="Arial" w:hAnsi="Arial"/>
                <w:b w:val="0"/>
                <w:i w:val="0"/>
                <w:color w:val="111111"/>
                <w:sz w:val="15"/>
              </w:rPr>
              <w:t>Requires commercial evidence</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5"/>
              </w:rPr>
              <w:t>Commercial evidence</w:t>
            </w:r>
          </w:p>
        </w:tc>
        <w:tc>
          <w:tcPr>
            <w:tcW w:type="dxa" w:w="2340"/>
            <w:shd w:fill="FFFFFF"/>
            <w:vAlign w:val="top"/>
            <w:tcMar>
              <w:top w:w="90" w:type="dxa"/>
              <w:start w:w="120" w:type="dxa"/>
              <w:bottom w:w="90" w:type="dxa"/>
              <w:end w:w="120" w:type="dxa"/>
            </w:tcMar>
          </w:tcPr>
          <w:p>
            <w:pPr>
              <w:spacing w:after="0"/>
            </w:pPr>
            <w:r>
              <w:rPr>
                <w:rFonts w:ascii="Arial" w:hAnsi="Arial"/>
                <w:b w:val="0"/>
                <w:i w:val="0"/>
                <w:color w:val="111111"/>
                <w:sz w:val="15"/>
              </w:rPr>
              <w:t>Obtain/build</w:t>
            </w:r>
          </w:p>
        </w:tc>
      </w:tr>
    </w:tbl>
    <w:p>
      <w:pPr>
        <w:spacing w:after="40"/>
      </w:pPr>
    </w:p>
    <w:p>
      <w:pPr>
        <w:keepNext w:val="0"/>
        <w:spacing w:after="120"/>
      </w:pPr>
      <w:r>
        <w:rPr>
          <w:rFonts w:ascii="Arial" w:hAnsi="Arial"/>
          <w:b w:val="0"/>
          <w:i w:val="0"/>
          <w:color w:val="555555"/>
          <w:sz w:val="17"/>
        </w:rPr>
        <w:t>Commercial evidence such as live quotations, LOIs, site models, licences and legal confirmations must be dated and tied to the actual transaction or operating entity.</w:t>
      </w:r>
    </w:p>
    <w:p>
      <w:pPr>
        <w:pStyle w:val="Heading1"/>
      </w:pPr>
      <w:r>
        <w:t>Conflicting or updated information</w:t>
      </w:r>
    </w:p>
    <w:tbl>
      <w:tblPr>
        <w:tblStyle w:val="TableGrid"/>
        <w:tblW w:type="dxa" w:w="9640"/>
        <w:tblLayout w:type="fixed"/>
        <w:tblLook w:firstColumn="1" w:firstRow="1" w:lastColumn="0" w:lastRow="0" w:noHBand="0" w:noVBand="1" w:val="04A0"/>
        <w:jc w:val="left"/>
        <w:tblInd w:w="0" w:type="dxa"/>
      </w:tblPr>
      <w:tblGrid>
        <w:gridCol w:w="1700"/>
        <w:gridCol w:w="2600"/>
        <w:gridCol w:w="2500"/>
        <w:gridCol w:w="2840"/>
      </w:tblGrid>
      <w:tr>
        <w:trPr>
          <w:cantSplit/>
          <w:tblHeader w:val="true"/>
          <w:cantSplit/>
        </w:trPr>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4"/>
              </w:rPr>
              <w:t>TOPIC</w:t>
            </w:r>
          </w:p>
        </w:tc>
        <w:tc>
          <w:tcPr>
            <w:tcW w:type="dxa" w:w="2600"/>
            <w:tcMar>
              <w:top w:w="90" w:type="dxa"/>
              <w:start w:w="120" w:type="dxa"/>
              <w:bottom w:w="90" w:type="dxa"/>
              <w:end w:w="120" w:type="dxa"/>
            </w:tcMar>
            <w:shd w:fill="111111"/>
            <w:vAlign w:val="center"/>
          </w:tcPr>
          <w:p>
            <w:pPr>
              <w:spacing w:after="0"/>
            </w:pPr>
            <w:r>
              <w:rPr>
                <w:rFonts w:ascii="Arial" w:hAnsi="Arial"/>
                <w:b/>
                <w:i w:val="0"/>
                <w:color w:val="FFFFFF"/>
                <w:sz w:val="14"/>
              </w:rPr>
              <w:t>EARLIER FIGURE OR STATEMENT</w:t>
            </w:r>
          </w:p>
        </w:tc>
        <w:tc>
          <w:tcPr>
            <w:tcW w:type="dxa" w:w="2500"/>
            <w:tcMar>
              <w:top w:w="90" w:type="dxa"/>
              <w:start w:w="120" w:type="dxa"/>
              <w:bottom w:w="90" w:type="dxa"/>
              <w:end w:w="120" w:type="dxa"/>
            </w:tcMar>
            <w:shd w:fill="111111"/>
            <w:vAlign w:val="center"/>
          </w:tcPr>
          <w:p>
            <w:pPr>
              <w:spacing w:after="0"/>
            </w:pPr>
            <w:r>
              <w:rPr>
                <w:rFonts w:ascii="Arial" w:hAnsi="Arial"/>
                <w:b/>
                <w:i w:val="0"/>
                <w:color w:val="FFFFFF"/>
                <w:sz w:val="14"/>
              </w:rPr>
              <w:t>CONTROLLING POSITION</w:t>
            </w:r>
          </w:p>
        </w:tc>
        <w:tc>
          <w:tcPr>
            <w:tcW w:type="dxa" w:w="2840"/>
            <w:tcMar>
              <w:top w:w="90" w:type="dxa"/>
              <w:start w:w="120" w:type="dxa"/>
              <w:bottom w:w="90" w:type="dxa"/>
              <w:end w:w="120" w:type="dxa"/>
            </w:tcMar>
            <w:shd w:fill="111111"/>
            <w:vAlign w:val="center"/>
          </w:tcPr>
          <w:p>
            <w:pPr>
              <w:spacing w:after="0"/>
            </w:pPr>
            <w:r>
              <w:rPr>
                <w:rFonts w:ascii="Arial" w:hAnsi="Arial"/>
                <w:b/>
                <w:i w:val="0"/>
                <w:color w:val="FFFFFF"/>
                <w:sz w:val="14"/>
              </w:rPr>
              <w:t>RESOLUTION</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Funding</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AED3.5M total funding treated as sufficient</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AED3.5M initial deployment; AED4.0-4.5M committed capital recommended</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Update deck and site with both figures and their distinct meanings.</w:t>
            </w:r>
          </w:p>
        </w:tc>
      </w:tr>
      <w:tr>
        <w:trPr>
          <w:cantSplit/>
          <w:cantSplit/>
        </w:trPr>
        <w:tc>
          <w:tcPr>
            <w:tcW w:type="dxa" w:w="1700"/>
            <w:shd w:fill="FFFFFF"/>
            <w:vAlign w:val="top"/>
            <w:tcMar>
              <w:top w:w="90" w:type="dxa"/>
              <w:start w:w="120" w:type="dxa"/>
              <w:bottom w:w="90" w:type="dxa"/>
              <w:end w:w="120" w:type="dxa"/>
            </w:tcMar>
          </w:tcPr>
          <w:p>
            <w:pPr>
              <w:spacing w:after="0"/>
            </w:pPr>
            <w:r>
              <w:rPr>
                <w:rFonts w:ascii="Arial" w:hAnsi="Arial"/>
                <w:b/>
                <w:i w:val="0"/>
                <w:color w:val="111111"/>
                <w:sz w:val="14"/>
              </w:rPr>
              <w:t>Break-even</w:t>
            </w:r>
          </w:p>
        </w:tc>
        <w:tc>
          <w:tcPr>
            <w:tcW w:type="dxa" w:w="2600"/>
            <w:shd w:fill="FFFFFF"/>
            <w:vAlign w:val="top"/>
            <w:tcMar>
              <w:top w:w="90" w:type="dxa"/>
              <w:start w:w="120" w:type="dxa"/>
              <w:bottom w:w="90" w:type="dxa"/>
              <w:end w:w="120" w:type="dxa"/>
            </w:tcMar>
          </w:tcPr>
          <w:p>
            <w:pPr>
              <w:spacing w:after="0"/>
            </w:pPr>
            <w:r>
              <w:rPr>
                <w:rFonts w:ascii="Arial" w:hAnsi="Arial"/>
                <w:b w:val="0"/>
                <w:i w:val="0"/>
                <w:color w:val="111111"/>
                <w:sz w:val="14"/>
              </w:rPr>
              <w:t>Month 14 presented as a firm target</w:t>
            </w:r>
          </w:p>
        </w:tc>
        <w:tc>
          <w:tcPr>
            <w:tcW w:type="dxa" w:w="2500"/>
            <w:shd w:fill="FFFFFF"/>
            <w:vAlign w:val="top"/>
            <w:tcMar>
              <w:top w:w="90" w:type="dxa"/>
              <w:start w:w="120" w:type="dxa"/>
              <w:bottom w:w="90" w:type="dxa"/>
              <w:end w:w="120" w:type="dxa"/>
            </w:tcMar>
          </w:tcPr>
          <w:p>
            <w:pPr>
              <w:spacing w:after="0"/>
            </w:pPr>
            <w:r>
              <w:rPr>
                <w:rFonts w:ascii="Arial" w:hAnsi="Arial"/>
                <w:b w:val="0"/>
                <w:i w:val="0"/>
                <w:color w:val="111111"/>
                <w:sz w:val="14"/>
              </w:rPr>
              <w:t>Plausible only at approximately AED270k+ monthly revenue with controlled contribution</w:t>
            </w:r>
          </w:p>
        </w:tc>
        <w:tc>
          <w:tcPr>
            <w:tcW w:type="dxa" w:w="2840"/>
            <w:shd w:fill="FFFFFF"/>
            <w:vAlign w:val="top"/>
            <w:tcMar>
              <w:top w:w="90" w:type="dxa"/>
              <w:start w:w="120" w:type="dxa"/>
              <w:bottom w:w="90" w:type="dxa"/>
              <w:end w:w="120" w:type="dxa"/>
            </w:tcMar>
          </w:tcPr>
          <w:p>
            <w:pPr>
              <w:spacing w:after="0"/>
            </w:pPr>
            <w:r>
              <w:rPr>
                <w:rFonts w:ascii="Arial" w:hAnsi="Arial"/>
                <w:b w:val="0"/>
                <w:i w:val="0"/>
                <w:color w:val="111111"/>
                <w:sz w:val="14"/>
              </w:rPr>
              <w:t>Qualify Month 14 and show the AED3.1-3.5M annual break-even threshold.</w:t>
            </w:r>
          </w:p>
        </w:tc>
      </w:tr>
    </w:tbl>
    <w:p>
      <w:pPr>
        <w:spacing w:after="40"/>
      </w:pPr>
    </w:p>
    <w:p>
      <w:r>
        <w:br w:type="page"/>
      </w:r>
    </w:p>
    <w:p>
      <w:pPr>
        <w:pStyle w:val="Heading1"/>
      </w:pPr>
      <w:r>
        <w:t>Material claim register</w:t>
      </w:r>
    </w:p>
    <w:tbl>
      <w:tblPr>
        <w:tblStyle w:val="TableGrid"/>
        <w:tblW w:type="dxa" w:w="9640"/>
        <w:tblLayout w:type="fixed"/>
        <w:tblLook w:firstColumn="1" w:firstRow="1" w:lastColumn="0" w:lastRow="0" w:noHBand="0" w:noVBand="1" w:val="04A0"/>
        <w:jc w:val="left"/>
        <w:tblInd w:w="0" w:type="dxa"/>
      </w:tblPr>
      <w:tblGrid>
        <w:gridCol w:w="1100"/>
        <w:gridCol w:w="1900"/>
        <w:gridCol w:w="1500"/>
        <w:gridCol w:w="1300"/>
        <w:gridCol w:w="2100"/>
        <w:gridCol w:w="1740"/>
      </w:tblGrid>
      <w:tr>
        <w:trPr>
          <w:cantSplit/>
          <w:tblHeader w:val="true"/>
          <w:cantSplit/>
        </w:trPr>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CLAIM</w:t>
            </w:r>
          </w:p>
        </w:tc>
        <w:tc>
          <w:tcPr>
            <w:tcW w:type="dxa" w:w="19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50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1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740"/>
            <w:tcMar>
              <w:top w:w="90" w:type="dxa"/>
              <w:start w:w="120" w:type="dxa"/>
              <w:bottom w:w="90" w:type="dxa"/>
              <w:end w:w="120" w:type="dxa"/>
            </w:tcMar>
            <w:shd w:fill="111111"/>
            <w:vAlign w:val="center"/>
          </w:tcPr>
          <w:p>
            <w:pPr>
              <w:spacing w:after="0"/>
            </w:pPr>
            <w:r>
              <w:rPr>
                <w:rFonts w:ascii="Arial" w:hAnsi="Arial"/>
                <w:b/>
                <w:i w:val="0"/>
                <w:color w:val="FFFFFF"/>
                <w:sz w:val="14"/>
              </w:rPr>
              <w:t>SOURCE / LIMITATION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V08-C01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Retail-linked SAM</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344-447M AED/year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research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S12. Excludes foodservice and is not factory revenue already captured.</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V08-C02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Initial deployment</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3.5M AED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Internal plan</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S12/S13. Possible but tight.</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V08-C03</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Recommended committed capital</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4.0-4.5M AED</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recommendation</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S12. Provides working-capital headroom while initial deployment may remain approximately AED3.5M.</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V08-C04</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Base facility</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12000 sq ft</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Internal plan</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S12/S13. Live property quotation required.</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V08-C05</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Initial operating team</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19 employees</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Internal plan</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S12/S13. Employment quotations required.</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V08-C06</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Revenue Years 1-3</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2.3M / 4.2M / 6.8M AED/year</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Years 1-3</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S12/S13. Not commercial results.</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V08-C07</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Annual revenue threshold</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3.1-3.5M AED/year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Mature base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S12. Equivalent to approximately AED260k-290k monthly sales.</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V08-C08</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Month-14 target</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Plausible, not validated timing</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Internal plan</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S12. Monthly phasing required.</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V08-C09</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Five-year IRR - downside/base/upside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approximately -4% / 20% / 34% %</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S12. Includes a 3.0x Year-5 EBITDA terminal value.</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V08-C10</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Operating cash payback</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More than five years years</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S12. The approximately 20% IRR depends on terminal value.</w:t>
            </w:r>
          </w:p>
        </w:tc>
      </w:tr>
    </w:tbl>
    <w:p>
      <w:pPr>
        <w:spacing w:after="40"/>
      </w:pPr>
    </w:p>
    <w:p>
      <w:pPr>
        <w:pStyle w:val="Heading1"/>
      </w:pPr>
      <w:r>
        <w:t>Source register</w:t>
      </w:r>
    </w:p>
    <w:p>
      <w:pPr>
        <w:spacing w:after="40"/>
      </w:pPr>
      <w:r>
        <w:rPr>
          <w:rFonts w:ascii="Arial" w:hAnsi="Arial"/>
          <w:b/>
          <w:i w:val="0"/>
          <w:color w:val="111111"/>
          <w:sz w:val="18"/>
        </w:rPr>
        <w:t>[S12] UAE B2B Industrial Bakery Investment Case</w:t>
      </w:r>
    </w:p>
    <w:p>
      <w:pPr>
        <w:spacing w:after="80"/>
      </w:pPr>
      <w:r>
        <w:rPr>
          <w:rFonts w:ascii="Arial" w:hAnsi="Arial"/>
          <w:b/>
          <w:i w:val="0"/>
          <w:color w:val="555555"/>
          <w:sz w:val="19"/>
        </w:rPr>
        <w:t xml:space="preserve">Organisation / type: </w:t>
      </w:r>
      <w:r>
        <w:rPr>
          <w:rFonts w:ascii="Arial" w:hAnsi="Arial"/>
          <w:b w:val="0"/>
          <w:i w:val="0"/>
          <w:color w:val="111111"/>
          <w:sz w:val="19"/>
        </w:rPr>
        <w:t>Completed Deep Research</w:t>
      </w:r>
    </w:p>
    <w:p>
      <w:pPr>
        <w:spacing w:after="80"/>
      </w:pPr>
      <w:r>
        <w:rPr>
          <w:rFonts w:ascii="Arial" w:hAnsi="Arial"/>
          <w:b/>
          <w:i w:val="0"/>
          <w:color w:val="555555"/>
          <w:sz w:val="19"/>
        </w:rPr>
        <w:t xml:space="preserve">Date: </w:t>
      </w:r>
      <w:r>
        <w:rPr>
          <w:rFonts w:ascii="Arial" w:hAnsi="Arial"/>
          <w:b w:val="0"/>
          <w:i w:val="0"/>
          <w:color w:val="111111"/>
          <w:sz w:val="19"/>
        </w:rPr>
        <w:t>2026-08-31</w:t>
      </w:r>
    </w:p>
    <w:p>
      <w:pPr>
        <w:spacing w:after="80"/>
      </w:pPr>
      <w:r>
        <w:rPr>
          <w:rFonts w:ascii="Arial" w:hAnsi="Arial"/>
          <w:b/>
          <w:i w:val="0"/>
          <w:color w:val="555555"/>
          <w:sz w:val="19"/>
        </w:rPr>
        <w:t xml:space="preserve">File: </w:t>
      </w:r>
      <w:r>
        <w:rPr>
          <w:rFonts w:ascii="Arial" w:hAnsi="Arial"/>
          <w:b w:val="0"/>
          <w:i w:val="0"/>
          <w:color w:val="111111"/>
          <w:sz w:val="19"/>
        </w:rPr>
        <w:t>Pasted markdown (2).md</w:t>
      </w:r>
    </w:p>
    <w:p>
      <w:pPr>
        <w:spacing w:after="80"/>
      </w:pPr>
      <w:r>
        <w:rPr>
          <w:rFonts w:ascii="Arial" w:hAnsi="Arial"/>
          <w:b/>
          <w:i w:val="0"/>
          <w:color w:val="555555"/>
          <w:sz w:val="19"/>
        </w:rPr>
        <w:t xml:space="preserve">Supports: </w:t>
      </w:r>
      <w:r>
        <w:rPr>
          <w:rFonts w:ascii="Arial" w:hAnsi="Arial"/>
          <w:b w:val="0"/>
          <w:i w:val="0"/>
          <w:color w:val="111111"/>
          <w:sz w:val="19"/>
        </w:rPr>
        <w:t>Market sizing, buyer strategy, capital, break-even, five-year scenarios and operating gates.</w:t>
      </w:r>
    </w:p>
    <w:p>
      <w:pPr>
        <w:spacing w:after="160"/>
      </w:pPr>
      <w:hyperlink r:id="rId11">
        <w:r>
          <w:rPr>
            <w:color w:val="111111"/>
            <w:u w:val="single"/>
          </w:rPr>
          <w:t>https://agriculture.canada.ca/en/international-trade/reports-and-guides/sector-trend-analysis-bread-and-bakery-products-united-arab-emirates</w:t>
        </w:r>
      </w:hyperlink>
    </w:p>
    <w:p>
      <w:pPr>
        <w:spacing w:after="40"/>
      </w:pPr>
      <w:r>
        <w:rPr>
          <w:rFonts w:ascii="Arial" w:hAnsi="Arial"/>
          <w:b/>
          <w:i w:val="0"/>
          <w:color w:val="111111"/>
          <w:sz w:val="18"/>
        </w:rPr>
        <w:t>[S13] Industrial Bakery Proposal and Business Canvas</w:t>
      </w:r>
    </w:p>
    <w:p>
      <w:pPr>
        <w:spacing w:after="80"/>
      </w:pPr>
      <w:r>
        <w:rPr>
          <w:rFonts w:ascii="Arial" w:hAnsi="Arial"/>
          <w:b/>
          <w:i w:val="0"/>
          <w:color w:val="555555"/>
          <w:sz w:val="19"/>
        </w:rPr>
        <w:t xml:space="preserve">Organisation / type: </w:t>
      </w:r>
      <w:r>
        <w:rPr>
          <w:rFonts w:ascii="Arial" w:hAnsi="Arial"/>
          <w:b w:val="0"/>
          <w:i w:val="0"/>
          <w:color w:val="111111"/>
          <w:sz w:val="19"/>
        </w:rPr>
        <w:t>Company proposal</w:t>
      </w:r>
    </w:p>
    <w:p>
      <w:pPr>
        <w:spacing w:after="80"/>
      </w:pPr>
      <w:r>
        <w:rPr>
          <w:rFonts w:ascii="Arial" w:hAnsi="Arial"/>
          <w:b/>
          <w:i w:val="0"/>
          <w:color w:val="555555"/>
          <w:sz w:val="19"/>
        </w:rPr>
        <w:t xml:space="preserve">Date: </w:t>
      </w:r>
      <w:r>
        <w:rPr>
          <w:rFonts w:ascii="Arial" w:hAnsi="Arial"/>
          <w:b w:val="0"/>
          <w:i w:val="0"/>
          <w:color w:val="111111"/>
          <w:sz w:val="19"/>
        </w:rPr>
        <w:t>2026</w:t>
      </w:r>
    </w:p>
    <w:p>
      <w:pPr>
        <w:spacing w:after="80"/>
      </w:pPr>
      <w:r>
        <w:rPr>
          <w:rFonts w:ascii="Arial" w:hAnsi="Arial"/>
          <w:b/>
          <w:i w:val="0"/>
          <w:color w:val="555555"/>
          <w:sz w:val="19"/>
        </w:rPr>
        <w:t xml:space="preserve">File: </w:t>
      </w:r>
      <w:r>
        <w:rPr>
          <w:rFonts w:ascii="Arial" w:hAnsi="Arial"/>
          <w:b w:val="0"/>
          <w:i w:val="0"/>
          <w:color w:val="111111"/>
          <w:sz w:val="19"/>
        </w:rPr>
        <w:t>Industrial-Bakery-Proposal.pdf; Industrial-Bakery-Business-Canvas.pdf</w:t>
      </w:r>
    </w:p>
    <w:p>
      <w:pPr>
        <w:spacing w:after="80"/>
      </w:pPr>
      <w:r>
        <w:rPr>
          <w:rFonts w:ascii="Arial" w:hAnsi="Arial"/>
          <w:b/>
          <w:i w:val="0"/>
          <w:color w:val="555555"/>
          <w:sz w:val="19"/>
        </w:rPr>
        <w:t xml:space="preserve">Supports: </w:t>
      </w:r>
      <w:r>
        <w:rPr>
          <w:rFonts w:ascii="Arial" w:hAnsi="Arial"/>
          <w:b w:val="0"/>
          <w:i w:val="0"/>
          <w:color w:val="111111"/>
          <w:sz w:val="19"/>
        </w:rPr>
        <w:t>Facility, staffing, fleet and Years 1-3 internal revenue plan.</w:t>
      </w:r>
    </w:p>
    <w:p>
      <w:pPr>
        <w:keepNext w:val="0"/>
        <w:spacing w:after="160"/>
      </w:pPr>
      <w:r>
        <w:rPr>
          <w:rFonts w:ascii="Arial" w:hAnsi="Arial"/>
          <w:b w:val="0"/>
          <w:i/>
          <w:color w:val="888888"/>
          <w:sz w:val="17"/>
        </w:rPr>
        <w:t>Original external URL is not recorded in the controlling register.</w:t>
      </w:r>
    </w:p>
    <w:p>
      <w:pPr>
        <w:keepNext w:val="0"/>
        <w:spacing w:after="0"/>
        <w:jc w:val="center"/>
      </w:pPr>
      <w:r>
        <w:rPr>
          <w:rFonts w:ascii="Arial" w:hAnsi="Arial"/>
          <w:b/>
          <w:i w:val="0"/>
          <w:color w:val="888888"/>
          <w:sz w:val="16"/>
        </w:rPr>
        <w:t>END OF REPORT</w:t>
      </w:r>
    </w:p>
    <w:sectPr w:rsidR="00FC693F" w:rsidRPr="0006063C" w:rsidSect="00034616">
      <w:headerReference w:type="default" r:id="rId9"/>
      <w:footerReference w:type="default" r:id="rId10"/>
      <w:pgSz w:w="11906" w:h="16838"/>
      <w:pgMar w:top="1134" w:right="1134" w:bottom="1020" w:left="1134"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i w:val="0"/>
        <w:color w:val="888888"/>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4" w:color="D2D2D2"/>
      </w:pBdr>
    </w:pPr>
    <w:r>
      <w:drawing>
        <wp:inline xmlns:a="http://schemas.openxmlformats.org/drawingml/2006/main" xmlns:pic="http://schemas.openxmlformats.org/drawingml/2006/picture">
          <wp:extent cx="621792" cy="149001"/>
          <wp:docPr id="1" name="Picture 1"/>
          <wp:cNvGraphicFramePr>
            <a:graphicFrameLocks noChangeAspect="1"/>
          </wp:cNvGraphicFramePr>
          <a:graphic>
            <a:graphicData uri="http://schemas.openxmlformats.org/drawingml/2006/picture">
              <pic:pic>
                <pic:nvPicPr>
                  <pic:cNvPr id="0" name="imperial-alfa-mark.png"/>
                  <pic:cNvPicPr/>
                </pic:nvPicPr>
                <pic:blipFill>
                  <a:blip r:embed="rId1"/>
                  <a:stretch>
                    <a:fillRect/>
                  </a:stretch>
                </pic:blipFill>
                <pic:spPr>
                  <a:xfrm>
                    <a:off x="0" y="0"/>
                    <a:ext cx="621792" cy="149001"/>
                  </a:xfrm>
                  <a:prstGeom prst="rect"/>
                </pic:spPr>
              </pic:pic>
            </a:graphicData>
          </a:graphic>
        </wp:inline>
      </w:drawing>
    </w:r>
    <w:r>
      <w:rPr>
        <w:rFonts w:ascii="Arial" w:hAnsi="Arial"/>
        <w:b w:val="0"/>
        <w:i w:val="0"/>
        <w:color w:val="888888"/>
        <w:sz w:val="16"/>
      </w:rPr>
      <w:t xml:space="preserve">   NEW VENTURES   /   FULL RESEARCH   /   31 AUGUST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11111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rial" w:hAnsi="Arial"/>
      <w:b/>
      <w:bCs/>
      <w:color w:val="111111"/>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111111"/>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5555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11111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rial" w:hAnsi="Arial"/>
      <w:b w:val="0"/>
      <w:i/>
      <w:iCs/>
      <w:color w:val="555555"/>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ind w:left="346"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ind w:left="346" w:hanging="230"/>
      <w:contextualSpacing/>
    </w:pPr>
    <w:rPr>
      <w:rFonts w:ascii="Arial" w:hAnsi="Arial"/>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40"/>
    </w:pPr>
    <w:rPr>
      <w:rFonts w:ascii="Arial" w:hAnsi="Arial"/>
      <w:b/>
      <w:color w:val="88888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griculture.canada.ca/en/international-trade/reports-and-guides/sector-trend-analysis-bread-and-bakery-products-united-arab-emir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Bakery - Consolidated Deep Research</dc:title>
  <dc:subject>Consolidated Deep Research</dc:subject>
  <dc:creator>ALFA New Ventures</dc:creator>
  <cp:keywords>UAE, venture research, decision review, 2026</cp:keywords>
  <dc:description>Built from the controlling data register dated 31 August 2026.</dc:description>
  <cp:lastModifiedBy/>
  <cp:revision>1</cp:revision>
  <dcterms:created xsi:type="dcterms:W3CDTF">2013-12-23T23:15:00Z</dcterms:created>
  <dcterms:modified xsi:type="dcterms:W3CDTF">2013-12-23T23:15:00Z</dcterms:modified>
  <cp:category/>
</cp:coreProperties>
</file>