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after="800"/>
      </w:pPr>
      <w:r>
        <w:rPr>
          <w:rFonts w:ascii="Arial" w:hAnsi="Arial"/>
          <w:b/>
          <w:i w:val="0"/>
          <w:color w:val="888888"/>
          <w:sz w:val="16"/>
        </w:rPr>
        <w:t>V03  /  CONSOLIDATED DEEP RESEARCH</w:t>
      </w:r>
    </w:p>
    <w:p>
      <w:pPr>
        <w:pStyle w:val="Title"/>
        <w:spacing w:after="160"/>
      </w:pPr>
      <w:r>
        <w:t>Business Bay Offices</w:t>
      </w:r>
    </w:p>
    <w:p>
      <w:pPr>
        <w:keepNext w:val="0"/>
        <w:spacing w:after="360"/>
      </w:pPr>
      <w:r>
        <w:rPr>
          <w:rFonts w:ascii="Arial" w:hAnsi="Arial"/>
          <w:b/>
          <w:i w:val="0"/>
          <w:color w:val="555555"/>
          <w:sz w:val="20"/>
        </w:rPr>
        <w:t>MANAGED COMMERCIAL REAL ESTATE</w:t>
      </w:r>
    </w:p>
    <w:p>
      <w:pPr>
        <w:keepNext w:val="0"/>
        <w:spacing w:after="480"/>
      </w:pPr>
      <w:r>
        <w:rPr>
          <w:rFonts w:ascii="Arial" w:hAnsi="Arial"/>
          <w:b w:val="0"/>
          <w:i w:val="0"/>
          <w:color w:val="252525"/>
          <w:sz w:val="30"/>
        </w:rPr>
        <w:t>The operating concept works; a normal-priced acquisition does not.</w:t>
      </w:r>
    </w:p>
    <w:p>
      <w:pPr>
        <w:spacing w:before="40" w:after="360"/>
        <w:pBdr>
          <w:bottom w:val="single" w:sz="8" w:space="1" w:color="111111"/>
        </w:pBdr>
      </w:pPr>
    </w:p>
    <w:p>
      <w:pPr>
        <w:spacing w:after="80"/>
      </w:pPr>
      <w:r>
        <w:rPr>
          <w:rFonts w:ascii="Arial" w:hAnsi="Arial"/>
          <w:b/>
          <w:i w:val="0"/>
          <w:color w:val="555555"/>
          <w:sz w:val="19"/>
        </w:rPr>
        <w:t xml:space="preserve">Geographic scope: </w:t>
      </w:r>
      <w:r>
        <w:rPr>
          <w:rFonts w:ascii="Arial" w:hAnsi="Arial"/>
          <w:b w:val="0"/>
          <w:i w:val="0"/>
          <w:color w:val="111111"/>
          <w:sz w:val="19"/>
        </w:rPr>
        <w:t>Business Bay, Dubai</w:t>
      </w:r>
    </w:p>
    <w:p>
      <w:pPr>
        <w:spacing w:after="80"/>
      </w:pPr>
      <w:r>
        <w:rPr>
          <w:rFonts w:ascii="Arial" w:hAnsi="Arial"/>
          <w:b/>
          <w:i w:val="0"/>
          <w:color w:val="555555"/>
          <w:sz w:val="19"/>
        </w:rPr>
        <w:t xml:space="preserve">Data cut-off: </w:t>
      </w:r>
      <w:r>
        <w:rPr>
          <w:rFonts w:ascii="Arial" w:hAnsi="Arial"/>
          <w:b w:val="0"/>
          <w:i w:val="0"/>
          <w:color w:val="111111"/>
          <w:sz w:val="19"/>
        </w:rPr>
        <w:t>31 August 2026</w:t>
      </w:r>
    </w:p>
    <w:p>
      <w:pPr>
        <w:spacing w:after="80"/>
      </w:pPr>
      <w:r>
        <w:rPr>
          <w:rFonts w:ascii="Arial" w:hAnsi="Arial"/>
          <w:b/>
          <w:i w:val="0"/>
          <w:color w:val="555555"/>
          <w:sz w:val="19"/>
        </w:rPr>
        <w:t xml:space="preserve">Decision: </w:t>
      </w:r>
      <w:r>
        <w:rPr>
          <w:rFonts w:ascii="Arial" w:hAnsi="Arial"/>
          <w:b w:val="0"/>
          <w:i w:val="0"/>
          <w:color w:val="111111"/>
          <w:sz w:val="19"/>
        </w:rPr>
        <w:t>CONDITIONAL GO; NO-GO at ordinary market acquisition pricing</w:t>
      </w:r>
    </w:p>
    <w:p>
      <w:pPr>
        <w:spacing w:after="80"/>
      </w:pPr>
      <w:r>
        <w:rPr>
          <w:rFonts w:ascii="Arial" w:hAnsi="Arial"/>
          <w:b/>
          <w:i w:val="0"/>
          <w:color w:val="555555"/>
          <w:sz w:val="19"/>
        </w:rPr>
        <w:t xml:space="preserve">Risk level: </w:t>
      </w:r>
      <w:r>
        <w:rPr>
          <w:rFonts w:ascii="Arial" w:hAnsi="Arial"/>
          <w:b w:val="0"/>
          <w:i w:val="0"/>
          <w:color w:val="111111"/>
          <w:sz w:val="19"/>
        </w:rPr>
        <w:t>High</w:t>
      </w:r>
    </w:p>
    <w:p>
      <w:pPr>
        <w:spacing w:after="80"/>
      </w:pPr>
      <w:r>
        <w:rPr>
          <w:rFonts w:ascii="Arial" w:hAnsi="Arial"/>
          <w:b/>
          <w:i w:val="0"/>
          <w:color w:val="555555"/>
          <w:sz w:val="19"/>
        </w:rPr>
        <w:t xml:space="preserve">Controlling source: </w:t>
      </w:r>
      <w:r>
        <w:rPr>
          <w:rFonts w:ascii="Arial" w:hAnsi="Arial"/>
          <w:b w:val="0"/>
          <w:i w:val="0"/>
          <w:color w:val="111111"/>
          <w:sz w:val="19"/>
        </w:rPr>
        <w:t>ALFA New Ventures Master Data Register v1.0</w:t>
      </w:r>
    </w:p>
    <w:p>
      <w:pPr>
        <w:keepNext w:val="0"/>
        <w:spacing w:after="480"/>
      </w:pPr>
      <w:r>
        <w:rPr>
          <w:rFonts w:ascii="Arial" w:hAnsi="Arial"/>
          <w:b w:val="0"/>
          <w:i/>
          <w:color w:val="888888"/>
          <w:sz w:val="18"/>
        </w:rPr>
        <w:t>Consolidated from completed research and locked evidence. Internal decision review.</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AED 0.76-1.07B</w:t>
            </w:r>
          </w:p>
          <w:p>
            <w:pPr>
              <w:spacing w:after="0"/>
            </w:pPr>
            <w:r>
              <w:rPr>
                <w:rFonts w:ascii="Arial" w:hAnsi="Arial"/>
                <w:b/>
                <w:i w:val="0"/>
                <w:color w:val="555555"/>
                <w:sz w:val="14"/>
              </w:rPr>
              <w:t>Dubai flex/private-office TAM proxy</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267-480M</w:t>
            </w:r>
          </w:p>
          <w:p>
            <w:pPr>
              <w:spacing w:after="0"/>
            </w:pPr>
            <w:r>
              <w:rPr>
                <w:rFonts w:ascii="Arial" w:hAnsi="Arial"/>
                <w:b/>
                <w:i w:val="0"/>
                <w:color w:val="555555"/>
                <w:sz w:val="14"/>
              </w:rPr>
              <w:t>SAM proxy</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10000</w:t>
            </w:r>
          </w:p>
          <w:p>
            <w:pPr>
              <w:spacing w:after="0"/>
            </w:pPr>
            <w:r>
              <w:rPr>
                <w:rFonts w:ascii="Arial" w:hAnsi="Arial"/>
                <w:b/>
                <w:i w:val="0"/>
                <w:color w:val="555555"/>
                <w:sz w:val="14"/>
              </w:rPr>
              <w:t>Floorplate</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38</w:t>
            </w:r>
          </w:p>
          <w:p>
            <w:pPr>
              <w:spacing w:after="0"/>
            </w:pPr>
            <w:r>
              <w:rPr>
                <w:rFonts w:ascii="Arial" w:hAnsi="Arial"/>
                <w:b/>
                <w:i w:val="0"/>
                <w:color w:val="555555"/>
                <w:sz w:val="14"/>
              </w:rPr>
              <w:t>Private suites</w:t>
            </w:r>
          </w:p>
        </w:tc>
      </w:tr>
    </w:tbl>
    <w:p>
      <w:pPr>
        <w:spacing w:after="60"/>
      </w:pPr>
    </w:p>
    <w:p>
      <w:pPr>
        <w:keepNext w:val="0"/>
        <w:spacing w:after="80"/>
      </w:pPr>
      <w:r>
        <w:rPr>
          <w:rFonts w:ascii="Arial" w:hAnsi="Arial"/>
          <w:b/>
          <w:i w:val="0"/>
          <w:color w:val="888888"/>
          <w:sz w:val="16"/>
        </w:rPr>
        <w:t>Evidence rule</w:t>
      </w:r>
    </w:p>
    <w:p>
      <w:pPr>
        <w:keepNext w:val="0"/>
        <w:spacing w:after="0"/>
      </w:pPr>
      <w:r>
        <w:rPr>
          <w:rFonts w:ascii="Arial" w:hAnsi="Arial"/>
          <w:b w:val="0"/>
          <w:i w:val="0"/>
          <w:color w:val="555555"/>
          <w:sz w:val="18"/>
        </w:rPr>
        <w:t>Published facts, company-reported figures, calculations and modelled assumptions remain separately labelled. Missing quotations, contracts and live operating evidence have not been invented.</w:t>
      </w:r>
    </w:p>
    <w:p>
      <w:r>
        <w:br w:type="page"/>
      </w:r>
    </w:p>
    <w:p>
      <w:pPr>
        <w:pStyle w:val="Heading1"/>
      </w:pPr>
      <w:r>
        <w:t>Report map</w:t>
      </w:r>
    </w:p>
    <w:tbl>
      <w:tblPr>
        <w:tblStyle w:val="TableGrid"/>
        <w:tblW w:type="dxa" w:w="9640"/>
        <w:tblLayout w:type="fixed"/>
        <w:tblLook w:firstColumn="1" w:firstRow="1" w:lastColumn="0" w:lastRow="0" w:noHBand="0" w:noVBand="1" w:val="04A0"/>
        <w:jc w:val="left"/>
        <w:tblInd w:w="0" w:type="dxa"/>
      </w:tblPr>
      <w:tblGrid>
        <w:gridCol w:w="1300"/>
        <w:gridCol w:w="8340"/>
      </w:tblGrid>
      <w:tr>
        <w:trPr>
          <w:cantSplit/>
          <w:tblHeader w:val="true"/>
          <w:cantSplit/>
        </w:trPr>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8"/>
              </w:rPr>
              <w:t>SECTION</w:t>
            </w:r>
          </w:p>
        </w:tc>
        <w:tc>
          <w:tcPr>
            <w:tcW w:type="dxa" w:w="8340"/>
            <w:tcMar>
              <w:top w:w="90" w:type="dxa"/>
              <w:start w:w="120" w:type="dxa"/>
              <w:bottom w:w="90" w:type="dxa"/>
              <w:end w:w="120" w:type="dxa"/>
            </w:tcMar>
            <w:shd w:fill="111111"/>
            <w:vAlign w:val="center"/>
          </w:tcPr>
          <w:p>
            <w:pPr>
              <w:spacing w:after="0"/>
            </w:pPr>
            <w:r>
              <w:rPr>
                <w:rFonts w:ascii="Arial" w:hAnsi="Arial"/>
                <w:b/>
                <w:i w:val="0"/>
                <w:color w:val="FFFFFF"/>
                <w:sz w:val="18"/>
              </w:rPr>
              <w:t>CONTENT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01</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Decision and scope</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02</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Business model and market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03</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Commercial model, capital and returns</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04</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Operations, regulation and risks</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05</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Diligence, conflicts and evidence register</w:t>
            </w:r>
          </w:p>
        </w:tc>
      </w:tr>
    </w:tbl>
    <w:p>
      <w:pPr>
        <w:spacing w:after="40"/>
      </w:pPr>
    </w:p>
    <w:p>
      <w:pPr>
        <w:keepNext w:val="0"/>
        <w:spacing w:after="120"/>
      </w:pPr>
      <w:r>
        <w:rPr>
          <w:rFonts w:ascii="Arial" w:hAnsi="Arial"/>
          <w:b w:val="0"/>
          <w:i w:val="0"/>
          <w:color w:val="555555"/>
          <w:sz w:val="18"/>
        </w:rPr>
        <w:t>Use Word's navigation pane to move through the heading hierarchy. Every material figure is repeated in the claim register with its evidence classification and source reference.</w:t>
      </w:r>
    </w:p>
    <w:p>
      <w:pPr>
        <w:pStyle w:val="Heading1"/>
      </w:pPr>
      <w:r>
        <w:t>Executive summary</w:t>
      </w:r>
    </w:p>
    <w:p>
      <w:pPr>
        <w:keepNext w:val="0"/>
        <w:spacing w:after="200"/>
      </w:pPr>
      <w:r>
        <w:rPr>
          <w:rFonts w:ascii="Arial" w:hAnsi="Arial"/>
          <w:b w:val="0"/>
          <w:i w:val="0"/>
          <w:color w:val="111111"/>
          <w:sz w:val="22"/>
        </w:rPr>
        <w:t>The managed-office operating concept is viable, but ordinary market acquisition pricing does not clear the return hurdle. The preferred entry is an owner JV or management structure, or a deeply discounted acquisition with substantial existing fit-out.</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AED 0.76-1.07B</w:t>
            </w:r>
          </w:p>
          <w:p>
            <w:pPr>
              <w:spacing w:after="0"/>
            </w:pPr>
            <w:r>
              <w:rPr>
                <w:rFonts w:ascii="Arial" w:hAnsi="Arial"/>
                <w:b/>
                <w:i w:val="0"/>
                <w:color w:val="555555"/>
                <w:sz w:val="14"/>
              </w:rPr>
              <w:t>Dubai flex/private-office TAM proxy</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267-480M</w:t>
            </w:r>
          </w:p>
          <w:p>
            <w:pPr>
              <w:spacing w:after="0"/>
            </w:pPr>
            <w:r>
              <w:rPr>
                <w:rFonts w:ascii="Arial" w:hAnsi="Arial"/>
                <w:b/>
                <w:i w:val="0"/>
                <w:color w:val="555555"/>
                <w:sz w:val="14"/>
              </w:rPr>
              <w:t>SAM proxy</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10000</w:t>
            </w:r>
          </w:p>
          <w:p>
            <w:pPr>
              <w:spacing w:after="0"/>
            </w:pPr>
            <w:r>
              <w:rPr>
                <w:rFonts w:ascii="Arial" w:hAnsi="Arial"/>
                <w:b/>
                <w:i w:val="0"/>
                <w:color w:val="555555"/>
                <w:sz w:val="14"/>
              </w:rPr>
              <w:t>Floorplate</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38</w:t>
            </w:r>
          </w:p>
          <w:p>
            <w:pPr>
              <w:spacing w:after="0"/>
            </w:pPr>
            <w:r>
              <w:rPr>
                <w:rFonts w:ascii="Arial" w:hAnsi="Arial"/>
                <w:b/>
                <w:i w:val="0"/>
                <w:color w:val="555555"/>
                <w:sz w:val="14"/>
              </w:rPr>
              <w:t>Private suites</w:t>
            </w:r>
          </w:p>
        </w:tc>
      </w:tr>
    </w:tbl>
    <w:p>
      <w:pPr>
        <w:spacing w:after="60"/>
      </w:pPr>
    </w:p>
    <w:tbl>
      <w:tblPr>
        <w:tblStyle w:val="TableGrid"/>
        <w:tblW w:type="dxa" w:w="9640"/>
        <w:tblLayout w:type="fixed"/>
        <w:tblLook w:firstColumn="1" w:firstRow="1" w:lastColumn="0" w:lastRow="0" w:noHBand="0" w:noVBand="1" w:val="04A0"/>
        <w:jc w:val="left"/>
        <w:tblInd w:w="0" w:type="dxa"/>
      </w:tblPr>
      <w:tblGrid>
        <w:gridCol w:w="2300"/>
        <w:gridCol w:w="73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7"/>
              </w:rPr>
              <w:t>DECISION ITEM</w:t>
            </w:r>
          </w:p>
        </w:tc>
        <w:tc>
          <w:tcPr>
            <w:tcW w:type="dxa" w:w="7340"/>
            <w:tcMar>
              <w:top w:w="90" w:type="dxa"/>
              <w:start w:w="120" w:type="dxa"/>
              <w:bottom w:w="90" w:type="dxa"/>
              <w:end w:w="120" w:type="dxa"/>
            </w:tcMar>
            <w:shd w:fill="111111"/>
            <w:vAlign w:val="center"/>
          </w:tcPr>
          <w:p>
            <w:pPr>
              <w:spacing w:after="0"/>
            </w:pPr>
            <w:r>
              <w:rPr>
                <w:rFonts w:ascii="Arial" w:hAnsi="Arial"/>
                <w:b/>
                <w:i w:val="0"/>
                <w:color w:val="FFFFFF"/>
                <w:sz w:val="17"/>
              </w:rPr>
              <w:t>LOCKED POSITION</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Decision</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CONDITIONAL GO; NO-GO at ordinary market acquisition pricing</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Preferred model</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Owner JV or management structure first; otherwise acquire a 10,000-12,000 sq ft floor only at a deeply discounted basis or with substantial existing fit-out.</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Gate before commitment</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Purchase basis, permitted use, suite plan, fit-out BOQ, written suite pricing and occupancy evidence must meet the return hurdle.</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Source status</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Standalone research completed; formal consolidated document pending.</w:t>
            </w:r>
          </w:p>
        </w:tc>
      </w:tr>
    </w:tbl>
    <w:p>
      <w:pPr>
        <w:spacing w:after="40"/>
      </w:pPr>
    </w:p>
    <w:p>
      <w:pPr>
        <w:pStyle w:val="Heading2"/>
      </w:pPr>
      <w:r>
        <w:t>Principal advantages</w:t>
      </w:r>
    </w:p>
    <w:p>
      <w:pPr>
        <w:pStyle w:val="ListBullet"/>
      </w:pPr>
      <w:r>
        <w:t>The operating concept works; a normal-priced acquisition does not.</w:t>
      </w:r>
    </w:p>
    <w:p>
      <w:pPr>
        <w:pStyle w:val="ListBullet"/>
      </w:pPr>
      <w:r>
        <w:t>Business Bay is the approved focus. The asset must be tested building by building for access, parking, efficiency, permitted use and ready-office pricing.</w:t>
      </w:r>
    </w:p>
    <w:p>
      <w:pPr>
        <w:pStyle w:val="ListBullet"/>
      </w:pPr>
      <w:r>
        <w:t>The selected entry model is: Owner JV or management structure first; otherwise acquire a 10,000-12,000 sq ft floor only at a deeply discounted basis or with substantial existing fit-out.</w:t>
      </w:r>
    </w:p>
    <w:p>
      <w:pPr>
        <w:pStyle w:val="Heading2"/>
      </w:pPr>
      <w:r>
        <w:t>Principal weaknesses</w:t>
      </w:r>
    </w:p>
    <w:p>
      <w:pPr>
        <w:pStyle w:val="ListBullet"/>
      </w:pPr>
      <w:r>
        <w:t>Acquisition basis above the return ceiling</w:t>
      </w:r>
    </w:p>
    <w:p>
      <w:pPr>
        <w:pStyle w:val="ListBullet"/>
      </w:pPr>
      <w:r>
        <w:t>Fit-out cost and programme overruns</w:t>
      </w:r>
    </w:p>
    <w:p>
      <w:pPr>
        <w:pStyle w:val="ListBullet"/>
      </w:pPr>
      <w:r>
        <w:t>Occupancy below the cash break-even level</w:t>
      </w:r>
    </w:p>
    <w:p>
      <w:pPr>
        <w:pStyle w:val="ListBullet"/>
      </w:pPr>
      <w:r>
        <w:t>Unverified suite pricing or operating costs</w:t>
      </w:r>
    </w:p>
    <w:p>
      <w:r>
        <w:br w:type="page"/>
      </w:r>
    </w:p>
    <w:p>
      <w:pPr>
        <w:pStyle w:val="Heading1"/>
      </w:pPr>
      <w:r>
        <w:t>Research scope and business model</w:t>
      </w:r>
    </w:p>
    <w:p>
      <w:pPr>
        <w:keepNext w:val="0"/>
        <w:spacing w:after="120"/>
      </w:pPr>
      <w:r>
        <w:rPr>
          <w:rFonts w:ascii="Arial" w:hAnsi="Arial"/>
          <w:b w:val="0"/>
          <w:i w:val="0"/>
          <w:color w:val="111111"/>
          <w:sz w:val="20"/>
        </w:rPr>
        <w:t>This report formalises the locked decision case for Business Bay Offices. It preserves the current evidence boundary and identifies the commercial proof required before commitment.</w:t>
      </w:r>
    </w:p>
    <w:p>
      <w:pPr>
        <w:pStyle w:val="Heading2"/>
      </w:pPr>
      <w:r>
        <w:t>Customer groups</w:t>
      </w:r>
    </w:p>
    <w:p>
      <w:pPr>
        <w:pStyle w:val="ListBullet"/>
      </w:pPr>
      <w:r>
        <w:t>Small and mid-sized companies seeking private offices</w:t>
      </w:r>
    </w:p>
    <w:p>
      <w:pPr>
        <w:pStyle w:val="ListBullet"/>
      </w:pPr>
      <w:r>
        <w:t>Professional-services and project teams</w:t>
      </w:r>
    </w:p>
    <w:p>
      <w:pPr>
        <w:pStyle w:val="ListBullet"/>
      </w:pPr>
      <w:r>
        <w:t>International companies requiring a Dubai base</w:t>
      </w:r>
    </w:p>
    <w:p>
      <w:pPr>
        <w:pStyle w:val="ListBullet"/>
      </w:pPr>
      <w:r>
        <w:t>Tenants valuing reception, meeting rooms and managed services</w:t>
      </w:r>
    </w:p>
    <w:p>
      <w:pPr>
        <w:pStyle w:val="Heading2"/>
      </w:pPr>
      <w:r>
        <w:t>Products or operating segments</w:t>
      </w:r>
    </w:p>
    <w:p>
      <w:pPr>
        <w:pStyle w:val="ListBullet"/>
      </w:pPr>
      <w:r>
        <w:t>Private office suites</w:t>
      </w:r>
    </w:p>
    <w:p>
      <w:pPr>
        <w:pStyle w:val="ListBullet"/>
      </w:pPr>
      <w:r>
        <w:t>Shared meeting and reception facilities</w:t>
      </w:r>
    </w:p>
    <w:p>
      <w:pPr>
        <w:pStyle w:val="ListBullet"/>
      </w:pPr>
      <w:r>
        <w:t>Managed services</w:t>
      </w:r>
    </w:p>
    <w:p>
      <w:pPr>
        <w:pStyle w:val="ListBullet"/>
      </w:pPr>
      <w:r>
        <w:t>Optional parking and ancillary services where available</w:t>
      </w:r>
    </w:p>
    <w:p>
      <w:pPr>
        <w:pStyle w:val="Heading2"/>
      </w:pPr>
      <w:r>
        <w:t>Revenue model</w:t>
      </w:r>
    </w:p>
    <w:p>
      <w:pPr>
        <w:pStyle w:val="ListBullet"/>
      </w:pPr>
      <w:r>
        <w:t>Monthly private-suite licences or leases</w:t>
      </w:r>
    </w:p>
    <w:p>
      <w:pPr>
        <w:pStyle w:val="ListBullet"/>
      </w:pPr>
      <w:r>
        <w:t>Meeting-room and service income</w:t>
      </w:r>
    </w:p>
    <w:p>
      <w:pPr>
        <w:pStyle w:val="ListBullet"/>
      </w:pPr>
      <w:r>
        <w:t>Parking and ancillary charges where contracted</w:t>
      </w:r>
    </w:p>
    <w:p>
      <w:pPr>
        <w:pStyle w:val="Heading2"/>
      </w:pPr>
      <w:r>
        <w:t>Preferred entry model</w:t>
      </w:r>
    </w:p>
    <w:p>
      <w:pPr>
        <w:keepNext w:val="0"/>
        <w:spacing w:after="120"/>
      </w:pPr>
      <w:r>
        <w:rPr>
          <w:rFonts w:ascii="Arial" w:hAnsi="Arial"/>
          <w:b w:val="0"/>
          <w:i w:val="0"/>
          <w:color w:val="111111"/>
          <w:sz w:val="20"/>
        </w:rPr>
        <w:t>Owner JV or management structure first; otherwise acquire a 10,000-12,000 sq ft floor only at a deeply discounted basis or with substantial existing fit-out.</w:t>
      </w:r>
    </w:p>
    <w:p>
      <w:pPr>
        <w:pStyle w:val="Heading2"/>
      </w:pPr>
      <w:r>
        <w:t>Location logic</w:t>
      </w:r>
    </w:p>
    <w:p>
      <w:pPr>
        <w:keepNext w:val="0"/>
        <w:spacing w:after="120"/>
      </w:pPr>
      <w:r>
        <w:rPr>
          <w:rFonts w:ascii="Arial" w:hAnsi="Arial"/>
          <w:b w:val="0"/>
          <w:i w:val="0"/>
          <w:color w:val="111111"/>
          <w:sz w:val="20"/>
        </w:rPr>
        <w:t>Business Bay is the approved focus. The asset must be tested building by building for access, parking, efficiency, permitted use and ready-office pricing.</w:t>
      </w:r>
    </w:p>
    <w:p>
      <w:pPr>
        <w:pStyle w:val="Heading1"/>
      </w:pPr>
      <w:r>
        <w:t>Market and demand</w:t>
      </w:r>
    </w:p>
    <w:p>
      <w:pPr>
        <w:keepNext w:val="0"/>
        <w:spacing w:after="80"/>
      </w:pPr>
      <w:r>
        <w:rPr>
          <w:rFonts w:ascii="Arial" w:hAnsi="Arial"/>
          <w:b w:val="0"/>
          <w:i w:val="0"/>
          <w:color w:val="111111"/>
          <w:sz w:val="19"/>
        </w:rPr>
        <w:t>Modelled Dubai flex/private-office revenue TAM proxy: AED0.76-1.07B annually.</w:t>
      </w:r>
    </w:p>
    <w:p>
      <w:pPr>
        <w:keepNext w:val="0"/>
        <w:spacing w:after="80"/>
      </w:pPr>
      <w:r>
        <w:rPr>
          <w:rFonts w:ascii="Arial" w:hAnsi="Arial"/>
          <w:b w:val="0"/>
          <w:i w:val="0"/>
          <w:color w:val="111111"/>
          <w:sz w:val="19"/>
        </w:rPr>
        <w:t>Modelled serviceable revenue proxy: AED267-480M annually.</w:t>
      </w:r>
    </w:p>
    <w:p>
      <w:pPr>
        <w:pStyle w:val="Heading2"/>
      </w:pPr>
      <w:r>
        <w:t>Competition and positioning</w:t>
      </w:r>
    </w:p>
    <w:p>
      <w:pPr>
        <w:keepNext w:val="0"/>
        <w:spacing w:after="120"/>
      </w:pPr>
      <w:r>
        <w:rPr>
          <w:rFonts w:ascii="Arial" w:hAnsi="Arial"/>
          <w:b w:val="0"/>
          <w:i w:val="0"/>
          <w:color w:val="111111"/>
          <w:sz w:val="20"/>
        </w:rPr>
        <w:t>A complete live competitor, pricing and capacity schedule is not contained in the controlling register. Competitive positioning must therefore be validated against current operators, current assets and current customer quotations before commitment.</w:t>
      </w:r>
    </w:p>
    <w:p>
      <w:r>
        <w:br w:type="page"/>
      </w:r>
    </w:p>
    <w:p>
      <w:pPr>
        <w:pStyle w:val="Heading1"/>
      </w:pPr>
      <w:r>
        <w:t>Pricing, revenue, CAPEX and returns</w:t>
      </w:r>
    </w:p>
    <w:tbl>
      <w:tblPr>
        <w:tblStyle w:val="TableGrid"/>
        <w:tblW w:type="dxa" w:w="9640"/>
        <w:tblLayout w:type="fixed"/>
        <w:tblLook w:firstColumn="1" w:firstRow="1" w:lastColumn="0" w:lastRow="0" w:noHBand="0" w:noVBand="1" w:val="04A0"/>
        <w:jc w:val="left"/>
        <w:tblInd w:w="0" w:type="dxa"/>
      </w:tblPr>
      <w:tblGrid>
        <w:gridCol w:w="2300"/>
        <w:gridCol w:w="1450"/>
        <w:gridCol w:w="1100"/>
        <w:gridCol w:w="1450"/>
        <w:gridCol w:w="2300"/>
        <w:gridCol w:w="10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UNIT</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040"/>
            <w:tcMar>
              <w:top w:w="90" w:type="dxa"/>
              <w:start w:w="120" w:type="dxa"/>
              <w:bottom w:w="90" w:type="dxa"/>
              <w:end w:w="120" w:type="dxa"/>
            </w:tcMar>
            <w:shd w:fill="111111"/>
            <w:vAlign w:val="center"/>
          </w:tcPr>
          <w:p>
            <w:pPr>
              <w:spacing w:after="0"/>
            </w:pPr>
            <w:r>
              <w:rPr>
                <w:rFonts w:ascii="Arial" w:hAnsi="Arial"/>
                <w:b/>
                <w:i w:val="0"/>
                <w:color w:val="FFFFFF"/>
                <w:sz w:val="14"/>
              </w:rPr>
              <w:t>SOURCE</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Floorplate</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10000</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sq ft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S06</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Private suites</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38</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suites</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Stabilised model</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S06</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Stabilised occupancy</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85%</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Stabilised model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S06</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Stabilised revenue</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AED 3.16M</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AED/year</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Stabilised model</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S06</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EBITDA</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AED 1.79M</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AED/year</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Stabilised model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S06</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Total investment</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AED 27.37M</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AED</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S06</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Five-year equity IRR - downside/base/upside</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-12.3% / 6.7% / 21.9%</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Five-year hold</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S06</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Cash break-even occupancy</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64.5%</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Base financing model</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S06</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Purchase ceiling for 15% IRR - 10,000 sq ft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AED 1,510/sq ft</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AED/sq ft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S06</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Discount to ready-office medians</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26-28%</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2026</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S06</w:t>
            </w:r>
          </w:p>
        </w:tc>
      </w:tr>
    </w:tbl>
    <w:p>
      <w:pPr>
        <w:spacing w:after="40"/>
      </w:pPr>
    </w:p>
    <w:p>
      <w:pPr>
        <w:keepNext w:val="0"/>
        <w:spacing w:after="120"/>
      </w:pPr>
      <w:r>
        <w:rPr>
          <w:rFonts w:ascii="Arial" w:hAnsi="Arial"/>
          <w:b w:val="0"/>
          <w:i/>
          <w:color w:val="555555"/>
          <w:sz w:val="17"/>
        </w:rPr>
        <w:t>All model outputs remain conditional on the underlying transaction, quotation or operating assumptions. No modelled return is a guaranteed result.</w:t>
      </w:r>
    </w:p>
    <w:p>
      <w:pPr>
        <w:pStyle w:val="Heading2"/>
      </w:pPr>
      <w:r>
        <w:t>Revenue drivers</w:t>
      </w:r>
    </w:p>
    <w:p>
      <w:pPr>
        <w:pStyle w:val="ListBullet"/>
      </w:pPr>
      <w:r>
        <w:t>Base layout: 38 private suites.</w:t>
      </w:r>
    </w:p>
    <w:p>
      <w:pPr>
        <w:pStyle w:val="ListBullet"/>
      </w:pPr>
      <w:r>
        <w:t>Base occupancy assumption: 85%.</w:t>
      </w:r>
    </w:p>
    <w:p>
      <w:pPr>
        <w:pStyle w:val="ListBullet"/>
      </w:pPr>
      <w:r>
        <w:t>Base model stabilised revenue: AED3.16M annually.</w:t>
      </w:r>
    </w:p>
    <w:p>
      <w:pPr>
        <w:pStyle w:val="ListBullet"/>
      </w:pPr>
      <w:r>
        <w:t>Modelled cash break-even occupancy after debt: approximately 64.5%.</w:t>
      </w:r>
    </w:p>
    <w:p>
      <w:pPr>
        <w:pStyle w:val="Heading2"/>
      </w:pPr>
      <w:r>
        <w:t>Cost and return limitations</w:t>
      </w:r>
    </w:p>
    <w:p>
      <w:pPr>
        <w:pStyle w:val="ListBullet"/>
      </w:pPr>
      <w:r>
        <w:t>No reliable published monetary serviced-office market size was found.</w:t>
      </w:r>
    </w:p>
    <w:p>
      <w:pPr>
        <w:pStyle w:val="ListBullet"/>
      </w:pPr>
      <w:r>
        <w:t>Model-derived range.</w:t>
      </w:r>
    </w:p>
    <w:p>
      <w:pPr>
        <w:pStyle w:val="ListBullet"/>
      </w:pPr>
      <w:r>
        <w:t>Requires legal and technical suitability.</w:t>
      </w:r>
    </w:p>
    <w:p>
      <w:pPr>
        <w:pStyle w:val="ListBullet"/>
      </w:pPr>
      <w:r>
        <w:t>Dependent on final floorplan and approval.</w:t>
      </w:r>
    </w:p>
    <w:p>
      <w:pPr>
        <w:pStyle w:val="ListBullet"/>
      </w:pPr>
      <w:r>
        <w:t>Not achieved occupancy.</w:t>
      </w:r>
    </w:p>
    <w:p>
      <w:pPr>
        <w:pStyle w:val="ListBullet"/>
      </w:pPr>
      <w:r>
        <w:t>Assumes AED2,050/sq ft acquisition and modelled fit-out/fees.</w:t>
      </w:r>
    </w:p>
    <w:p>
      <w:r>
        <w:br w:type="page"/>
      </w:r>
    </w:p>
    <w:p>
      <w:pPr>
        <w:pStyle w:val="Heading1"/>
      </w:pPr>
      <w:r>
        <w:t>Operating requirements</w:t>
      </w:r>
    </w:p>
    <w:p>
      <w:pPr>
        <w:pStyle w:val="ListBullet"/>
      </w:pPr>
      <w:r>
        <w:t>Permitted-use and subdivision confirmation</w:t>
      </w:r>
    </w:p>
    <w:p>
      <w:pPr>
        <w:pStyle w:val="ListBullet"/>
      </w:pPr>
      <w:r>
        <w:t>Suite plan and fit-out BOQ</w:t>
      </w:r>
    </w:p>
    <w:p>
      <w:pPr>
        <w:pStyle w:val="ListBullet"/>
      </w:pPr>
      <w:r>
        <w:t>Sales pipeline and occupancy management</w:t>
      </w:r>
    </w:p>
    <w:p>
      <w:pPr>
        <w:pStyle w:val="ListBullet"/>
      </w:pPr>
      <w:r>
        <w:t>Reception, IT, maintenance and tenant-service delivery</w:t>
      </w:r>
    </w:p>
    <w:p>
      <w:pPr>
        <w:pStyle w:val="Heading1"/>
      </w:pPr>
      <w:r>
        <w:t>Regulation and licensing</w:t>
      </w:r>
    </w:p>
    <w:p>
      <w:pPr>
        <w:keepNext w:val="0"/>
        <w:spacing w:after="120"/>
      </w:pPr>
      <w:r>
        <w:rPr>
          <w:rFonts w:ascii="Arial" w:hAnsi="Arial"/>
          <w:b w:val="0"/>
          <w:i w:val="0"/>
          <w:color w:val="111111"/>
          <w:sz w:val="20"/>
        </w:rPr>
        <w:t>Permitted use, subdivision, licensing structure, building rules and lease documentation require written confirmation before acquisition or fit-out.</w:t>
      </w:r>
    </w:p>
    <w:p>
      <w:pPr>
        <w:pStyle w:val="Heading1"/>
      </w:pPr>
      <w:r>
        <w:t>Risk register</w:t>
      </w:r>
    </w:p>
    <w:tbl>
      <w:tblPr>
        <w:tblStyle w:val="TableGrid"/>
        <w:tblW w:type="dxa" w:w="9640"/>
        <w:tblLayout w:type="fixed"/>
        <w:tblLook w:firstColumn="1" w:firstRow="1" w:lastColumn="0" w:lastRow="0" w:noHBand="0" w:noVBand="1" w:val="04A0"/>
        <w:jc w:val="left"/>
        <w:tblInd w:w="0" w:type="dxa"/>
      </w:tblPr>
      <w:tblGrid>
        <w:gridCol w:w="700"/>
        <w:gridCol w:w="3600"/>
        <w:gridCol w:w="1700"/>
        <w:gridCol w:w="3640"/>
      </w:tblGrid>
      <w:tr>
        <w:trPr>
          <w:cantSplit/>
          <w:tblHeader w:val="true"/>
          <w:cantSplit/>
        </w:trPr>
        <w:tc>
          <w:tcPr>
            <w:tcW w:type="dxa" w:w="700"/>
            <w:tcMar>
              <w:top w:w="90" w:type="dxa"/>
              <w:start w:w="120" w:type="dxa"/>
              <w:bottom w:w="90" w:type="dxa"/>
              <w:end w:w="120" w:type="dxa"/>
            </w:tcMar>
            <w:shd w:fill="111111"/>
            <w:vAlign w:val="center"/>
          </w:tcPr>
          <w:p>
            <w:pPr>
              <w:spacing w:after="0"/>
            </w:pPr>
            <w:r>
              <w:rPr>
                <w:rFonts w:ascii="Arial" w:hAnsi="Arial"/>
                <w:b/>
                <w:i w:val="0"/>
                <w:color w:val="FFFFFF"/>
                <w:sz w:val="16"/>
              </w:rPr>
              <w:t>ID</w:t>
            </w:r>
          </w:p>
        </w:tc>
        <w:tc>
          <w:tcPr>
            <w:tcW w:type="dxa" w:w="3600"/>
            <w:tcMar>
              <w:top w:w="90" w:type="dxa"/>
              <w:start w:w="120" w:type="dxa"/>
              <w:bottom w:w="90" w:type="dxa"/>
              <w:end w:w="120" w:type="dxa"/>
            </w:tcMar>
            <w:shd w:fill="111111"/>
            <w:vAlign w:val="center"/>
          </w:tcPr>
          <w:p>
            <w:pPr>
              <w:spacing w:after="0"/>
            </w:pPr>
            <w:r>
              <w:rPr>
                <w:rFonts w:ascii="Arial" w:hAnsi="Arial"/>
                <w:b/>
                <w:i w:val="0"/>
                <w:color w:val="FFFFFF"/>
                <w:sz w:val="16"/>
              </w:rPr>
              <w:t>RISK</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6"/>
              </w:rPr>
              <w:t>CURRENT LEVEL</w:t>
            </w:r>
          </w:p>
        </w:tc>
        <w:tc>
          <w:tcPr>
            <w:tcW w:type="dxa" w:w="3640"/>
            <w:tcMar>
              <w:top w:w="90" w:type="dxa"/>
              <w:start w:w="120" w:type="dxa"/>
              <w:bottom w:w="90" w:type="dxa"/>
              <w:end w:w="120" w:type="dxa"/>
            </w:tcMar>
            <w:shd w:fill="111111"/>
            <w:vAlign w:val="center"/>
          </w:tcPr>
          <w:p>
            <w:pPr>
              <w:spacing w:after="0"/>
            </w:pPr>
            <w:r>
              <w:rPr>
                <w:rFonts w:ascii="Arial" w:hAnsi="Arial"/>
                <w:b/>
                <w:i w:val="0"/>
                <w:color w:val="FFFFFF"/>
                <w:sz w:val="16"/>
              </w:rPr>
              <w:t>CONTROL</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R01</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Acquisition basis above the return ceiling</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Hold commitment until the decision gate is evidenced.</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R02</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Fit-out cost and programme overruns</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Use separate models and approval thresholds.</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R03</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Occupancy below the cash break-even level</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Obtain written quotations, contracts and technical review.</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R04</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Unverified suite pricing or operating costs</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Run legal, operating and counterparty diligence before scale.</w:t>
            </w:r>
          </w:p>
        </w:tc>
      </w:tr>
    </w:tbl>
    <w:p>
      <w:pPr>
        <w:spacing w:after="40"/>
      </w:pPr>
    </w:p>
    <w:p>
      <w:pPr>
        <w:pStyle w:val="Heading1"/>
      </w:pPr>
      <w:r>
        <w:t>Recommendation</w:t>
      </w:r>
    </w:p>
    <w:p>
      <w:pPr>
        <w:keepNext w:val="0"/>
        <w:spacing w:after="160"/>
      </w:pPr>
      <w:r>
        <w:rPr>
          <w:rFonts w:ascii="Arial" w:hAnsi="Arial"/>
          <w:b/>
          <w:i w:val="0"/>
          <w:color w:val="111111"/>
          <w:sz w:val="32"/>
        </w:rPr>
        <w:t>CONDITIONAL GO; NO-GO at ordinary market acquisition pricing</w:t>
      </w:r>
    </w:p>
    <w:p>
      <w:pPr>
        <w:keepNext w:val="0"/>
        <w:spacing w:after="120"/>
      </w:pPr>
      <w:r>
        <w:rPr>
          <w:rFonts w:ascii="Arial" w:hAnsi="Arial"/>
          <w:b w:val="0"/>
          <w:i w:val="0"/>
          <w:color w:val="111111"/>
          <w:sz w:val="20"/>
        </w:rPr>
        <w:t>Owner JV or management structure first; otherwise acquire a 10,000-12,000 sq ft floor only at a deeply discounted basis or with substantial existing fit-out.</w:t>
      </w:r>
    </w:p>
    <w:p>
      <w:pPr>
        <w:keepNext w:val="0"/>
        <w:spacing w:after="120"/>
      </w:pPr>
      <w:r>
        <w:rPr>
          <w:rFonts w:ascii="Arial" w:hAnsi="Arial"/>
          <w:b/>
          <w:i w:val="0"/>
          <w:color w:val="111111"/>
          <w:sz w:val="20"/>
        </w:rPr>
        <w:t>Condition before commitment: Purchase basis, permitted use, suite plan, fit-out BOQ, written suite pricing and occupancy evidence must meet the return hurdle.</w:t>
      </w:r>
    </w:p>
    <w:p>
      <w:r>
        <w:br w:type="page"/>
      </w:r>
    </w:p>
    <w:p>
      <w:pPr>
        <w:pStyle w:val="Heading1"/>
      </w:pPr>
      <w:r>
        <w:t>Missing information and due diligence</w:t>
      </w:r>
    </w:p>
    <w:tbl>
      <w:tblPr>
        <w:tblStyle w:val="TableGrid"/>
        <w:tblW w:type="dxa" w:w="9640"/>
        <w:tblLayout w:type="fixed"/>
        <w:tblLook w:firstColumn="1" w:firstRow="1" w:lastColumn="0" w:lastRow="0" w:noHBand="0" w:noVBand="1" w:val="04A0"/>
        <w:jc w:val="left"/>
        <w:tblInd w:w="0" w:type="dxa"/>
      </w:tblPr>
      <w:tblGrid>
        <w:gridCol w:w="3400"/>
        <w:gridCol w:w="2200"/>
        <w:gridCol w:w="1700"/>
        <w:gridCol w:w="2340"/>
      </w:tblGrid>
      <w:tr>
        <w:trPr>
          <w:cantSplit/>
          <w:tblHeader w:val="true"/>
          <w:cantSplit/>
        </w:trPr>
        <w:tc>
          <w:tcPr>
            <w:tcW w:type="dxa" w:w="3400"/>
            <w:tcMar>
              <w:top w:w="90" w:type="dxa"/>
              <w:start w:w="120" w:type="dxa"/>
              <w:bottom w:w="90" w:type="dxa"/>
              <w:end w:w="120" w:type="dxa"/>
            </w:tcMar>
            <w:shd w:fill="111111"/>
            <w:vAlign w:val="center"/>
          </w:tcPr>
          <w:p>
            <w:pPr>
              <w:spacing w:after="0"/>
            </w:pPr>
            <w:r>
              <w:rPr>
                <w:rFonts w:ascii="Arial" w:hAnsi="Arial"/>
                <w:b/>
                <w:i w:val="0"/>
                <w:color w:val="FFFFFF"/>
                <w:sz w:val="15"/>
              </w:rPr>
              <w:t>DOCUMENT</w:t>
            </w:r>
          </w:p>
        </w:tc>
        <w:tc>
          <w:tcPr>
            <w:tcW w:type="dxa" w:w="2200"/>
            <w:tcMar>
              <w:top w:w="90" w:type="dxa"/>
              <w:start w:w="120" w:type="dxa"/>
              <w:bottom w:w="90" w:type="dxa"/>
              <w:end w:w="120" w:type="dxa"/>
            </w:tcMar>
            <w:shd w:fill="111111"/>
            <w:vAlign w:val="center"/>
          </w:tcPr>
          <w:p>
            <w:pPr>
              <w:spacing w:after="0"/>
            </w:pPr>
            <w:r>
              <w:rPr>
                <w:rFonts w:ascii="Arial" w:hAnsi="Arial"/>
                <w:b/>
                <w:i w:val="0"/>
                <w:color w:val="FFFFFF"/>
                <w:sz w:val="15"/>
              </w:rPr>
              <w:t>STATUS</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5"/>
              </w:rPr>
              <w:t>LAYER</w:t>
            </w:r>
          </w:p>
        </w:tc>
        <w:tc>
          <w:tcPr>
            <w:tcW w:type="dxa" w:w="2340"/>
            <w:tcMar>
              <w:top w:w="90" w:type="dxa"/>
              <w:start w:w="120" w:type="dxa"/>
              <w:bottom w:w="90" w:type="dxa"/>
              <w:end w:w="120" w:type="dxa"/>
            </w:tcMar>
            <w:shd w:fill="111111"/>
            <w:vAlign w:val="center"/>
          </w:tcPr>
          <w:p>
            <w:pPr>
              <w:spacing w:after="0"/>
            </w:pPr>
            <w:r>
              <w:rPr>
                <w:rFonts w:ascii="Arial" w:hAnsi="Arial"/>
                <w:b/>
                <w:i w:val="0"/>
                <w:color w:val="FFFFFF"/>
                <w:sz w:val="15"/>
              </w:rPr>
              <w:t>REQUIRED ACTION</w:t>
            </w:r>
          </w:p>
        </w:tc>
      </w:tr>
      <w:tr>
        <w:trPr>
          <w:cantSplit/>
          <w:cantSplit/>
        </w:trPr>
        <w:tc>
          <w:tcPr>
            <w:tcW w:type="dxa" w:w="3400"/>
            <w:shd w:fill="F3F3F3"/>
            <w:vAlign w:val="top"/>
            <w:tcMar>
              <w:top w:w="90" w:type="dxa"/>
              <w:start w:w="120" w:type="dxa"/>
              <w:bottom w:w="90" w:type="dxa"/>
              <w:end w:w="120" w:type="dxa"/>
            </w:tcMar>
          </w:tcPr>
          <w:p>
            <w:pPr>
              <w:spacing w:after="0"/>
            </w:pPr>
            <w:r>
              <w:rPr>
                <w:rFonts w:ascii="Arial" w:hAnsi="Arial"/>
                <w:b/>
                <w:i w:val="0"/>
                <w:color w:val="111111"/>
                <w:sz w:val="15"/>
              </w:rPr>
              <w:t>Standalone Deep Research</w:t>
            </w:r>
          </w:p>
        </w:tc>
        <w:tc>
          <w:tcPr>
            <w:tcW w:type="dxa" w:w="2200"/>
            <w:shd w:fill="F3F3F3"/>
            <w:vAlign w:val="top"/>
            <w:tcMar>
              <w:top w:w="90" w:type="dxa"/>
              <w:start w:w="120" w:type="dxa"/>
              <w:bottom w:w="90" w:type="dxa"/>
              <w:end w:w="120" w:type="dxa"/>
            </w:tcMar>
          </w:tcPr>
          <w:p>
            <w:pPr>
              <w:spacing w:after="0"/>
            </w:pPr>
            <w:r>
              <w:rPr>
                <w:rFonts w:ascii="Arial" w:hAnsi="Arial"/>
                <w:b w:val="0"/>
                <w:i w:val="0"/>
                <w:color w:val="111111"/>
                <w:sz w:val="15"/>
              </w:rPr>
              <w:t>Research output available</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5"/>
              </w:rPr>
              <w:t>Phase 2</w:t>
            </w:r>
          </w:p>
        </w:tc>
        <w:tc>
          <w:tcPr>
            <w:tcW w:type="dxa" w:w="2340"/>
            <w:shd w:fill="F3F3F3"/>
            <w:vAlign w:val="top"/>
            <w:tcMar>
              <w:top w:w="90" w:type="dxa"/>
              <w:start w:w="120" w:type="dxa"/>
              <w:bottom w:w="90" w:type="dxa"/>
              <w:end w:w="120" w:type="dxa"/>
            </w:tcMar>
          </w:tcPr>
          <w:p>
            <w:pPr>
              <w:spacing w:after="0"/>
            </w:pPr>
            <w:r>
              <w:rPr>
                <w:rFonts w:ascii="Arial" w:hAnsi="Arial"/>
                <w:b w:val="0"/>
                <w:i w:val="0"/>
                <w:color w:val="111111"/>
                <w:sz w:val="15"/>
              </w:rPr>
              <w:t>Create formal DOCX/PDF</w:t>
            </w:r>
          </w:p>
        </w:tc>
      </w:tr>
      <w:tr>
        <w:trPr>
          <w:cantSplit/>
          <w:cantSplit/>
        </w:trPr>
        <w:tc>
          <w:tcPr>
            <w:tcW w:type="dxa" w:w="3400"/>
            <w:shd w:fill="FFFFFF"/>
            <w:vAlign w:val="top"/>
            <w:tcMar>
              <w:top w:w="90" w:type="dxa"/>
              <w:start w:w="120" w:type="dxa"/>
              <w:bottom w:w="90" w:type="dxa"/>
              <w:end w:w="120" w:type="dxa"/>
            </w:tcMar>
          </w:tcPr>
          <w:p>
            <w:pPr>
              <w:spacing w:after="0"/>
            </w:pPr>
            <w:r>
              <w:rPr>
                <w:rFonts w:ascii="Arial" w:hAnsi="Arial"/>
                <w:b/>
                <w:i w:val="0"/>
                <w:color w:val="111111"/>
                <w:sz w:val="15"/>
              </w:rPr>
              <w:t>Target Asset Comparison and Suite Model</w:t>
            </w:r>
          </w:p>
        </w:tc>
        <w:tc>
          <w:tcPr>
            <w:tcW w:type="dxa" w:w="2200"/>
            <w:shd w:fill="FFFFFF"/>
            <w:vAlign w:val="top"/>
            <w:tcMar>
              <w:top w:w="90" w:type="dxa"/>
              <w:start w:w="120" w:type="dxa"/>
              <w:bottom w:w="90" w:type="dxa"/>
              <w:end w:w="120" w:type="dxa"/>
            </w:tcMar>
          </w:tcPr>
          <w:p>
            <w:pPr>
              <w:spacing w:after="0"/>
            </w:pPr>
            <w:r>
              <w:rPr>
                <w:rFonts w:ascii="Arial" w:hAnsi="Arial"/>
                <w:b w:val="0"/>
                <w:i w:val="0"/>
                <w:color w:val="111111"/>
                <w:sz w:val="15"/>
              </w:rPr>
              <w:t>Requires live assets</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5"/>
              </w:rPr>
              <w:t>Commercial evidence</w:t>
            </w:r>
          </w:p>
        </w:tc>
        <w:tc>
          <w:tcPr>
            <w:tcW w:type="dxa" w:w="2340"/>
            <w:shd w:fill="FFFFFF"/>
            <w:vAlign w:val="top"/>
            <w:tcMar>
              <w:top w:w="90" w:type="dxa"/>
              <w:start w:w="120" w:type="dxa"/>
              <w:bottom w:w="90" w:type="dxa"/>
              <w:end w:w="120" w:type="dxa"/>
            </w:tcMar>
          </w:tcPr>
          <w:p>
            <w:pPr>
              <w:spacing w:after="0"/>
            </w:pPr>
            <w:r>
              <w:rPr>
                <w:rFonts w:ascii="Arial" w:hAnsi="Arial"/>
                <w:b w:val="0"/>
                <w:i w:val="0"/>
                <w:color w:val="111111"/>
                <w:sz w:val="15"/>
              </w:rPr>
              <w:t>Obtain/build</w:t>
            </w:r>
          </w:p>
        </w:tc>
      </w:tr>
    </w:tbl>
    <w:p>
      <w:pPr>
        <w:spacing w:after="40"/>
      </w:pPr>
    </w:p>
    <w:p>
      <w:pPr>
        <w:keepNext w:val="0"/>
        <w:spacing w:after="120"/>
      </w:pPr>
      <w:r>
        <w:rPr>
          <w:rFonts w:ascii="Arial" w:hAnsi="Arial"/>
          <w:b w:val="0"/>
          <w:i w:val="0"/>
          <w:color w:val="555555"/>
          <w:sz w:val="17"/>
        </w:rPr>
        <w:t>Commercial evidence such as live quotations, LOIs, site models, licences and legal confirmations must be dated and tied to the actual transaction or operating entity.</w:t>
      </w:r>
    </w:p>
    <w:p>
      <w:pPr>
        <w:pStyle w:val="Heading1"/>
      </w:pPr>
      <w:r>
        <w:t>Conflicting or updated information</w:t>
      </w:r>
    </w:p>
    <w:tbl>
      <w:tblPr>
        <w:tblStyle w:val="TableGrid"/>
        <w:tblW w:type="dxa" w:w="9640"/>
        <w:tblLayout w:type="fixed"/>
        <w:tblLook w:firstColumn="1" w:firstRow="1" w:lastColumn="0" w:lastRow="0" w:noHBand="0" w:noVBand="1" w:val="04A0"/>
        <w:jc w:val="left"/>
        <w:tblInd w:w="0" w:type="dxa"/>
      </w:tblPr>
      <w:tblGrid>
        <w:gridCol w:w="1700"/>
        <w:gridCol w:w="2600"/>
        <w:gridCol w:w="2500"/>
        <w:gridCol w:w="2840"/>
      </w:tblGrid>
      <w:tr>
        <w:trPr>
          <w:cantSplit/>
          <w:tblHeader w:val="true"/>
          <w:cantSplit/>
        </w:trPr>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4"/>
              </w:rPr>
              <w:t>TOPIC</w:t>
            </w:r>
          </w:p>
        </w:tc>
        <w:tc>
          <w:tcPr>
            <w:tcW w:type="dxa" w:w="2600"/>
            <w:tcMar>
              <w:top w:w="90" w:type="dxa"/>
              <w:start w:w="120" w:type="dxa"/>
              <w:bottom w:w="90" w:type="dxa"/>
              <w:end w:w="120" w:type="dxa"/>
            </w:tcMar>
            <w:shd w:fill="111111"/>
            <w:vAlign w:val="center"/>
          </w:tcPr>
          <w:p>
            <w:pPr>
              <w:spacing w:after="0"/>
            </w:pPr>
            <w:r>
              <w:rPr>
                <w:rFonts w:ascii="Arial" w:hAnsi="Arial"/>
                <w:b/>
                <w:i w:val="0"/>
                <w:color w:val="FFFFFF"/>
                <w:sz w:val="14"/>
              </w:rPr>
              <w:t>EARLIER FIGURE OR STATEMENT</w:t>
            </w:r>
          </w:p>
        </w:tc>
        <w:tc>
          <w:tcPr>
            <w:tcW w:type="dxa" w:w="2500"/>
            <w:tcMar>
              <w:top w:w="90" w:type="dxa"/>
              <w:start w:w="120" w:type="dxa"/>
              <w:bottom w:w="90" w:type="dxa"/>
              <w:end w:w="120" w:type="dxa"/>
            </w:tcMar>
            <w:shd w:fill="111111"/>
            <w:vAlign w:val="center"/>
          </w:tcPr>
          <w:p>
            <w:pPr>
              <w:spacing w:after="0"/>
            </w:pPr>
            <w:r>
              <w:rPr>
                <w:rFonts w:ascii="Arial" w:hAnsi="Arial"/>
                <w:b/>
                <w:i w:val="0"/>
                <w:color w:val="FFFFFF"/>
                <w:sz w:val="14"/>
              </w:rPr>
              <w:t>CONTROLLING POSITION</w:t>
            </w:r>
          </w:p>
        </w:tc>
        <w:tc>
          <w:tcPr>
            <w:tcW w:type="dxa" w:w="2840"/>
            <w:tcMar>
              <w:top w:w="90" w:type="dxa"/>
              <w:start w:w="120" w:type="dxa"/>
              <w:bottom w:w="90" w:type="dxa"/>
              <w:end w:w="120" w:type="dxa"/>
            </w:tcMar>
            <w:shd w:fill="111111"/>
            <w:vAlign w:val="center"/>
          </w:tcPr>
          <w:p>
            <w:pPr>
              <w:spacing w:after="0"/>
            </w:pPr>
            <w:r>
              <w:rPr>
                <w:rFonts w:ascii="Arial" w:hAnsi="Arial"/>
                <w:b/>
                <w:i w:val="0"/>
                <w:color w:val="FFFFFF"/>
                <w:sz w:val="14"/>
              </w:rPr>
              <w:t>RESOLUTION</w:t>
            </w:r>
          </w:p>
        </w:tc>
      </w:tr>
      <w:tr>
        <w:trPr>
          <w:cantSplit/>
          <w:cantSplit/>
        </w:trPr>
        <w:tc>
          <w:tcPr>
            <w:tcW w:type="dxa" w:w="1700"/>
            <w:shd w:fill="F3F3F3"/>
            <w:vAlign w:val="top"/>
            <w:tcMar>
              <w:top w:w="90" w:type="dxa"/>
              <w:start w:w="120" w:type="dxa"/>
              <w:bottom w:w="90" w:type="dxa"/>
              <w:end w:w="120" w:type="dxa"/>
            </w:tcMar>
          </w:tcPr>
          <w:p>
            <w:pPr>
              <w:spacing w:after="0"/>
            </w:pPr>
            <w:r>
              <w:rPr>
                <w:rFonts w:ascii="Arial" w:hAnsi="Arial"/>
                <w:b/>
                <w:i w:val="0"/>
                <w:color w:val="111111"/>
                <w:sz w:val="14"/>
              </w:rPr>
              <w:t>Market sizing</w:t>
            </w:r>
          </w:p>
        </w:tc>
        <w:tc>
          <w:tcPr>
            <w:tcW w:type="dxa" w:w="2600"/>
            <w:shd w:fill="F3F3F3"/>
            <w:vAlign w:val="top"/>
            <w:tcMar>
              <w:top w:w="90" w:type="dxa"/>
              <w:start w:w="120" w:type="dxa"/>
              <w:bottom w:w="90" w:type="dxa"/>
              <w:end w:w="120" w:type="dxa"/>
            </w:tcMar>
          </w:tcPr>
          <w:p>
            <w:pPr>
              <w:spacing w:after="0"/>
            </w:pPr>
            <w:r>
              <w:rPr>
                <w:rFonts w:ascii="Arial" w:hAnsi="Arial"/>
                <w:b w:val="0"/>
                <w:i w:val="0"/>
                <w:color w:val="111111"/>
                <w:sz w:val="14"/>
              </w:rPr>
              <w:t>AED4.11B external UAE flex-office market estimate</w:t>
            </w:r>
          </w:p>
        </w:tc>
        <w:tc>
          <w:tcPr>
            <w:tcW w:type="dxa" w:w="2500"/>
            <w:shd w:fill="F3F3F3"/>
            <w:vAlign w:val="top"/>
            <w:tcMar>
              <w:top w:w="90" w:type="dxa"/>
              <w:start w:w="120" w:type="dxa"/>
              <w:bottom w:w="90" w:type="dxa"/>
              <w:end w:w="120" w:type="dxa"/>
            </w:tcMar>
          </w:tcPr>
          <w:p>
            <w:pPr>
              <w:spacing w:after="0"/>
            </w:pPr>
            <w:r>
              <w:rPr>
                <w:rFonts w:ascii="Arial" w:hAnsi="Arial"/>
                <w:b w:val="0"/>
                <w:i w:val="0"/>
                <w:color w:val="111111"/>
                <w:sz w:val="14"/>
              </w:rPr>
              <w:t>AED0.76-1.07B modelled Dubai flex/private-office TAM proxy</w:t>
            </w:r>
          </w:p>
        </w:tc>
        <w:tc>
          <w:tcPr>
            <w:tcW w:type="dxa" w:w="2840"/>
            <w:shd w:fill="F3F3F3"/>
            <w:vAlign w:val="top"/>
            <w:tcMar>
              <w:top w:w="90" w:type="dxa"/>
              <w:start w:w="120" w:type="dxa"/>
              <w:bottom w:w="90" w:type="dxa"/>
              <w:end w:w="120" w:type="dxa"/>
            </w:tcMar>
          </w:tcPr>
          <w:p>
            <w:pPr>
              <w:spacing w:after="0"/>
            </w:pPr>
            <w:r>
              <w:rPr>
                <w:rFonts w:ascii="Arial" w:hAnsi="Arial"/>
                <w:b w:val="0"/>
                <w:i w:val="0"/>
                <w:color w:val="111111"/>
                <w:sz w:val="14"/>
              </w:rPr>
              <w:t>Use the new bottom-up proxy and label it modelled; remove the old headline.</w:t>
            </w:r>
          </w:p>
        </w:tc>
      </w:tr>
      <w:tr>
        <w:trPr>
          <w:cantSplit/>
          <w:cantSplit/>
        </w:trPr>
        <w:tc>
          <w:tcPr>
            <w:tcW w:type="dxa" w:w="1700"/>
            <w:shd w:fill="FFFFFF"/>
            <w:vAlign w:val="top"/>
            <w:tcMar>
              <w:top w:w="90" w:type="dxa"/>
              <w:start w:w="120" w:type="dxa"/>
              <w:bottom w:w="90" w:type="dxa"/>
              <w:end w:w="120" w:type="dxa"/>
            </w:tcMar>
          </w:tcPr>
          <w:p>
            <w:pPr>
              <w:spacing w:after="0"/>
            </w:pPr>
            <w:r>
              <w:rPr>
                <w:rFonts w:ascii="Arial" w:hAnsi="Arial"/>
                <w:b/>
                <w:i w:val="0"/>
                <w:color w:val="111111"/>
                <w:sz w:val="14"/>
              </w:rPr>
              <w:t>Research status</w:t>
            </w:r>
          </w:p>
        </w:tc>
        <w:tc>
          <w:tcPr>
            <w:tcW w:type="dxa" w:w="2600"/>
            <w:shd w:fill="FFFFFF"/>
            <w:vAlign w:val="top"/>
            <w:tcMar>
              <w:top w:w="90" w:type="dxa"/>
              <w:start w:w="120" w:type="dxa"/>
              <w:bottom w:w="90" w:type="dxa"/>
              <w:end w:w="120" w:type="dxa"/>
            </w:tcMar>
          </w:tcPr>
          <w:p>
            <w:pPr>
              <w:spacing w:after="0"/>
            </w:pPr>
            <w:r>
              <w:rPr>
                <w:rFonts w:ascii="Arial" w:hAnsi="Arial"/>
                <w:b w:val="0"/>
                <w:i w:val="0"/>
                <w:color w:val="111111"/>
                <w:sz w:val="14"/>
              </w:rPr>
              <w:t>Standalone study pending</w:t>
            </w:r>
          </w:p>
        </w:tc>
        <w:tc>
          <w:tcPr>
            <w:tcW w:type="dxa" w:w="2500"/>
            <w:shd w:fill="FFFFFF"/>
            <w:vAlign w:val="top"/>
            <w:tcMar>
              <w:top w:w="90" w:type="dxa"/>
              <w:start w:w="120" w:type="dxa"/>
              <w:bottom w:w="90" w:type="dxa"/>
              <w:end w:w="120" w:type="dxa"/>
            </w:tcMar>
          </w:tcPr>
          <w:p>
            <w:pPr>
              <w:spacing w:after="0"/>
            </w:pPr>
            <w:r>
              <w:rPr>
                <w:rFonts w:ascii="Arial" w:hAnsi="Arial"/>
                <w:b w:val="0"/>
                <w:i w:val="0"/>
                <w:color w:val="111111"/>
                <w:sz w:val="14"/>
              </w:rPr>
              <w:t>Standalone research completed</w:t>
            </w:r>
          </w:p>
        </w:tc>
        <w:tc>
          <w:tcPr>
            <w:tcW w:type="dxa" w:w="2840"/>
            <w:shd w:fill="FFFFFF"/>
            <w:vAlign w:val="top"/>
            <w:tcMar>
              <w:top w:w="90" w:type="dxa"/>
              <w:start w:w="120" w:type="dxa"/>
              <w:bottom w:w="90" w:type="dxa"/>
              <w:end w:w="120" w:type="dxa"/>
            </w:tcMar>
          </w:tcPr>
          <w:p>
            <w:pPr>
              <w:spacing w:after="0"/>
            </w:pPr>
            <w:r>
              <w:rPr>
                <w:rFonts w:ascii="Arial" w:hAnsi="Arial"/>
                <w:b w:val="0"/>
                <w:i w:val="0"/>
                <w:color w:val="111111"/>
                <w:sz w:val="14"/>
              </w:rPr>
              <w:t>Update all website and document-map statuses.</w:t>
            </w:r>
          </w:p>
        </w:tc>
      </w:tr>
    </w:tbl>
    <w:p>
      <w:pPr>
        <w:spacing w:after="40"/>
      </w:pPr>
    </w:p>
    <w:p>
      <w:r>
        <w:br w:type="page"/>
      </w:r>
    </w:p>
    <w:p>
      <w:pPr>
        <w:pStyle w:val="Heading1"/>
      </w:pPr>
      <w:r>
        <w:t>Material claim register</w:t>
      </w:r>
    </w:p>
    <w:tbl>
      <w:tblPr>
        <w:tblStyle w:val="TableGrid"/>
        <w:tblW w:type="dxa" w:w="9640"/>
        <w:tblLayout w:type="fixed"/>
        <w:tblLook w:firstColumn="1" w:firstRow="1" w:lastColumn="0" w:lastRow="0" w:noHBand="0" w:noVBand="1" w:val="04A0"/>
        <w:jc w:val="left"/>
        <w:tblInd w:w="0" w:type="dxa"/>
      </w:tblPr>
      <w:tblGrid>
        <w:gridCol w:w="1100"/>
        <w:gridCol w:w="1900"/>
        <w:gridCol w:w="1500"/>
        <w:gridCol w:w="1300"/>
        <w:gridCol w:w="2100"/>
        <w:gridCol w:w="1740"/>
      </w:tblGrid>
      <w:tr>
        <w:trPr>
          <w:cantSplit/>
          <w:tblHeader w:val="true"/>
          <w:cantSplit/>
        </w:trPr>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CLAIM</w:t>
            </w:r>
          </w:p>
        </w:tc>
        <w:tc>
          <w:tcPr>
            <w:tcW w:type="dxa" w:w="19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50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1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740"/>
            <w:tcMar>
              <w:top w:w="90" w:type="dxa"/>
              <w:start w:w="120" w:type="dxa"/>
              <w:bottom w:w="90" w:type="dxa"/>
              <w:end w:w="120" w:type="dxa"/>
            </w:tcMar>
            <w:shd w:fill="111111"/>
            <w:vAlign w:val="center"/>
          </w:tcPr>
          <w:p>
            <w:pPr>
              <w:spacing w:after="0"/>
            </w:pPr>
            <w:r>
              <w:rPr>
                <w:rFonts w:ascii="Arial" w:hAnsi="Arial"/>
                <w:b/>
                <w:i w:val="0"/>
                <w:color w:val="FFFFFF"/>
                <w:sz w:val="14"/>
              </w:rPr>
              <w:t>SOURCE / LIMITATION</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V03-C01</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Dubai flex/private-office TAM proxy</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0.76-1.07B AED/year</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S06. No reliable published monetary serviced-office market size was found.</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V03-C02</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SAM proxy</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AED 267-480M AED/year</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S06. Model-derived range.</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V03-C03</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Floorplate</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10000 sq ft</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S06. Requires legal and technical suitability.</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V03-C04</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Private suites</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38 suites</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Stabilised model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S06. Dependent on final floorplan and approval.</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V03-C05</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Stabilised occupancy</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85% %</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Stabilised model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S06. Not achieved occupancy.</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V03-C06</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Stabilised revenue</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AED 3.16M AED/year</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Stabilised model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S06. Derived from modelled suite pricing, occupancy and meeting-room revenue.</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V03-C07</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EBITDA</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1.79M AED/year</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Stabilised model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S06. Modelled, not operating history.</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V03-C08</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Total investment</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AED 27.37M AED</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S06. Assumes AED2,050/sq ft acquisition and modelled fit-out/fees.</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V03-C09</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Five-year equity IRR - downside/base/upside</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-12.3% / 6.7% / 21.9% %</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Five-year hold</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S06. Scenario assumptions must accompany the figures.</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V03-C10</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Cash break-even occupancy</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64.5% %</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Base financing model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S06. Operating break-even before finance is lower.</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V03-C11</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Purchase ceiling for 15% IRR - 10,000 sq ft</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1,510/sq ft AED/sq ft</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model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S06. Assumes the research base operating model and 50% LTV.</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V03-C12</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Discount to ready-office medians</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26-28% %</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2026</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S06. Use only with the AED1,510/sq ft ceiling and median context.</w:t>
            </w:r>
          </w:p>
        </w:tc>
      </w:tr>
    </w:tbl>
    <w:p>
      <w:pPr>
        <w:spacing w:after="40"/>
      </w:pPr>
    </w:p>
    <w:p>
      <w:pPr>
        <w:pStyle w:val="Heading1"/>
      </w:pPr>
      <w:r>
        <w:t>Source register</w:t>
      </w:r>
    </w:p>
    <w:p>
      <w:pPr>
        <w:spacing w:after="40"/>
      </w:pPr>
      <w:r>
        <w:rPr>
          <w:rFonts w:ascii="Arial" w:hAnsi="Arial"/>
          <w:b/>
          <w:i w:val="0"/>
          <w:color w:val="111111"/>
          <w:sz w:val="18"/>
        </w:rPr>
        <w:t>[S06] Business Bay Managed Office Investment - Dubai</w:t>
      </w:r>
    </w:p>
    <w:p>
      <w:pPr>
        <w:spacing w:after="80"/>
      </w:pPr>
      <w:r>
        <w:rPr>
          <w:rFonts w:ascii="Arial" w:hAnsi="Arial"/>
          <w:b/>
          <w:i w:val="0"/>
          <w:color w:val="555555"/>
          <w:sz w:val="19"/>
        </w:rPr>
        <w:t xml:space="preserve">Organisation / type: </w:t>
      </w:r>
      <w:r>
        <w:rPr>
          <w:rFonts w:ascii="Arial" w:hAnsi="Arial"/>
          <w:b w:val="0"/>
          <w:i w:val="0"/>
          <w:color w:val="111111"/>
          <w:sz w:val="19"/>
        </w:rPr>
        <w:t>Completed Deep Research</w:t>
      </w:r>
    </w:p>
    <w:p>
      <w:pPr>
        <w:spacing w:after="80"/>
      </w:pPr>
      <w:r>
        <w:rPr>
          <w:rFonts w:ascii="Arial" w:hAnsi="Arial"/>
          <w:b/>
          <w:i w:val="0"/>
          <w:color w:val="555555"/>
          <w:sz w:val="19"/>
        </w:rPr>
        <w:t xml:space="preserve">Date: </w:t>
      </w:r>
      <w:r>
        <w:rPr>
          <w:rFonts w:ascii="Arial" w:hAnsi="Arial"/>
          <w:b w:val="0"/>
          <w:i w:val="0"/>
          <w:color w:val="111111"/>
          <w:sz w:val="19"/>
        </w:rPr>
        <w:t>2026-08-31</w:t>
      </w:r>
    </w:p>
    <w:p>
      <w:pPr>
        <w:spacing w:after="80"/>
      </w:pPr>
      <w:r>
        <w:rPr>
          <w:rFonts w:ascii="Arial" w:hAnsi="Arial"/>
          <w:b/>
          <w:i w:val="0"/>
          <w:color w:val="555555"/>
          <w:sz w:val="19"/>
        </w:rPr>
        <w:t xml:space="preserve">File: </w:t>
      </w:r>
      <w:r>
        <w:rPr>
          <w:rFonts w:ascii="Arial" w:hAnsi="Arial"/>
          <w:b w:val="0"/>
          <w:i w:val="0"/>
          <w:color w:val="111111"/>
          <w:sz w:val="19"/>
        </w:rPr>
        <w:t>Pasted text (3).txt</w:t>
      </w:r>
    </w:p>
    <w:p>
      <w:pPr>
        <w:spacing w:after="80"/>
      </w:pPr>
      <w:r>
        <w:rPr>
          <w:rFonts w:ascii="Arial" w:hAnsi="Arial"/>
          <w:b/>
          <w:i w:val="0"/>
          <w:color w:val="555555"/>
          <w:sz w:val="19"/>
        </w:rPr>
        <w:t xml:space="preserve">Supports: </w:t>
      </w:r>
      <w:r>
        <w:rPr>
          <w:rFonts w:ascii="Arial" w:hAnsi="Arial"/>
          <w:b w:val="0"/>
          <w:i w:val="0"/>
          <w:color w:val="111111"/>
          <w:sz w:val="19"/>
        </w:rPr>
        <w:t>Market proxies, suite model, acquisition ceilings, IRR and decision gates.</w:t>
      </w:r>
    </w:p>
    <w:p>
      <w:pPr>
        <w:spacing w:after="160"/>
      </w:pPr>
      <w:hyperlink r:id="rId11">
        <w:r>
          <w:rPr>
            <w:color w:val="111111"/>
            <w:u w:val="single"/>
          </w:rPr>
          <w:t>https://dubailand.gov.ae/en/open-data/real-estate-data/</w:t>
        </w:r>
      </w:hyperlink>
    </w:p>
    <w:p>
      <w:pPr>
        <w:keepNext w:val="0"/>
        <w:spacing w:after="0"/>
        <w:jc w:val="center"/>
      </w:pPr>
      <w:r>
        <w:rPr>
          <w:rFonts w:ascii="Arial" w:hAnsi="Arial"/>
          <w:b/>
          <w:i w:val="0"/>
          <w:color w:val="888888"/>
          <w:sz w:val="16"/>
        </w:rPr>
        <w:t>END OF REPORT</w:t>
      </w:r>
    </w:p>
    <w:sectPr w:rsidR="00FC693F" w:rsidRPr="0006063C" w:rsidSect="00034616">
      <w:headerReference w:type="default" r:id="rId9"/>
      <w:footerReference w:type="default" r:id="rId10"/>
      <w:pgSz w:w="11906" w:h="16838"/>
      <w:pgMar w:top="1134" w:right="1134" w:bottom="1020" w:left="1134"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i w:val="0"/>
        <w:color w:val="888888"/>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4" w:space="4" w:color="D2D2D2"/>
      </w:pBdr>
    </w:pPr>
    <w:r>
      <w:drawing>
        <wp:inline xmlns:a="http://schemas.openxmlformats.org/drawingml/2006/main" xmlns:pic="http://schemas.openxmlformats.org/drawingml/2006/picture">
          <wp:extent cx="621792" cy="149001"/>
          <wp:docPr id="1" name="Picture 1"/>
          <wp:cNvGraphicFramePr>
            <a:graphicFrameLocks noChangeAspect="1"/>
          </wp:cNvGraphicFramePr>
          <a:graphic>
            <a:graphicData uri="http://schemas.openxmlformats.org/drawingml/2006/picture">
              <pic:pic>
                <pic:nvPicPr>
                  <pic:cNvPr id="0" name="imperial-alfa-mark.png"/>
                  <pic:cNvPicPr/>
                </pic:nvPicPr>
                <pic:blipFill>
                  <a:blip r:embed="rId1"/>
                  <a:stretch>
                    <a:fillRect/>
                  </a:stretch>
                </pic:blipFill>
                <pic:spPr>
                  <a:xfrm>
                    <a:off x="0" y="0"/>
                    <a:ext cx="621792" cy="149001"/>
                  </a:xfrm>
                  <a:prstGeom prst="rect"/>
                </pic:spPr>
              </pic:pic>
            </a:graphicData>
          </a:graphic>
        </wp:inline>
      </w:drawing>
    </w:r>
    <w:r>
      <w:rPr>
        <w:rFonts w:ascii="Arial" w:hAnsi="Arial"/>
        <w:b w:val="0"/>
        <w:i w:val="0"/>
        <w:color w:val="888888"/>
        <w:sz w:val="16"/>
      </w:rPr>
      <w:t xml:space="preserve">   NEW VENTURES   /   FULL RESEARCH   /   31 AUGUST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color w:val="111111"/>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Arial" w:hAnsi="Arial"/>
      <w:b/>
      <w:bCs/>
      <w:color w:val="111111"/>
      <w:sz w:val="36"/>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rial" w:hAnsi="Arial"/>
      <w:b/>
      <w:bCs/>
      <w:color w:val="111111"/>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55555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before="0"/>
      <w:contextualSpacing/>
    </w:pPr>
    <w:rPr>
      <w:rFonts w:asciiTheme="majorHAnsi" w:eastAsiaTheme="majorEastAsia" w:hAnsiTheme="majorHAnsi" w:cstheme="majorBidi" w:ascii="Arial" w:hAnsi="Arial"/>
      <w:b/>
      <w:color w:val="111111"/>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rial" w:hAnsi="Arial"/>
      <w:b w:val="0"/>
      <w:i/>
      <w:iCs/>
      <w:color w:val="555555"/>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59" w:lineRule="auto"/>
      <w:ind w:left="346"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59" w:lineRule="auto"/>
      <w:ind w:left="346" w:hanging="230"/>
      <w:contextualSpacing/>
    </w:pPr>
    <w:rPr>
      <w:rFonts w:ascii="Arial" w:hAnsi="Arial"/>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spacing w:after="140"/>
    </w:pPr>
    <w:rPr>
      <w:rFonts w:ascii="Arial" w:hAnsi="Arial"/>
      <w:b/>
      <w:color w:val="88888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dubailand.gov.ae/en/open-data/real-estate-da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Bay Offices - Consolidated Deep Research</dc:title>
  <dc:subject>Consolidated Deep Research</dc:subject>
  <dc:creator>ALFA New Ventures</dc:creator>
  <cp:keywords>UAE, venture research, decision review, 2026</cp:keywords>
  <dc:description>Built from the controlling data register dated 31 August 2026.</dc:description>
  <cp:lastModifiedBy/>
  <cp:revision>1</cp:revision>
  <dcterms:created xsi:type="dcterms:W3CDTF">2013-12-23T23:15:00Z</dcterms:created>
  <dcterms:modified xsi:type="dcterms:W3CDTF">2013-12-23T23:15:00Z</dcterms:modified>
  <cp:category/>
</cp:coreProperties>
</file>