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after="800"/>
      </w:pPr>
      <w:r>
        <w:rPr>
          <w:rFonts w:ascii="Arial" w:hAnsi="Arial"/>
          <w:b/>
          <w:i w:val="0"/>
          <w:color w:val="888888"/>
          <w:sz w:val="16"/>
        </w:rPr>
        <w:t>V01  /  CONSOLIDATED DEEP RESEARCH</w:t>
      </w:r>
    </w:p>
    <w:p>
      <w:pPr>
        <w:pStyle w:val="Title"/>
        <w:spacing w:after="160"/>
      </w:pPr>
      <w:r>
        <w:t>B2B Warehousing</w:t>
      </w:r>
    </w:p>
    <w:p>
      <w:pPr>
        <w:keepNext w:val="0"/>
        <w:spacing w:after="360"/>
      </w:pPr>
      <w:r>
        <w:rPr>
          <w:rFonts w:ascii="Arial" w:hAnsi="Arial"/>
          <w:b/>
          <w:i w:val="0"/>
          <w:color w:val="555555"/>
          <w:sz w:val="20"/>
        </w:rPr>
        <w:t>LOGISTICS REAL ESTATE</w:t>
      </w:r>
    </w:p>
    <w:p>
      <w:pPr>
        <w:keepNext w:val="0"/>
        <w:spacing w:after="480"/>
      </w:pPr>
      <w:r>
        <w:rPr>
          <w:rFonts w:ascii="Arial" w:hAnsi="Arial"/>
          <w:b w:val="0"/>
          <w:i w:val="0"/>
          <w:color w:val="252525"/>
          <w:sz w:val="30"/>
        </w:rPr>
        <w:t>Four warehouse formats, each underwritten separately. Medical/pharma capacity is anchor-led and regulated.</w:t>
      </w:r>
    </w:p>
    <w:p>
      <w:pPr>
        <w:spacing w:before="40" w:after="360"/>
        <w:pBdr>
          <w:bottom w:val="single" w:sz="8" w:space="1" w:color="111111"/>
        </w:pBdr>
      </w:pPr>
    </w:p>
    <w:p>
      <w:pPr>
        <w:spacing w:after="80"/>
      </w:pPr>
      <w:r>
        <w:rPr>
          <w:rFonts w:ascii="Arial" w:hAnsi="Arial"/>
          <w:b/>
          <w:i w:val="0"/>
          <w:color w:val="555555"/>
          <w:sz w:val="19"/>
        </w:rPr>
        <w:t xml:space="preserve">Geographic scope: </w:t>
      </w:r>
      <w:r>
        <w:rPr>
          <w:rFonts w:ascii="Arial" w:hAnsi="Arial"/>
          <w:b w:val="0"/>
          <w:i w:val="0"/>
          <w:color w:val="111111"/>
          <w:sz w:val="19"/>
        </w:rPr>
        <w:t>UAE</w:t>
      </w:r>
    </w:p>
    <w:p>
      <w:pPr>
        <w:spacing w:after="80"/>
      </w:pPr>
      <w:r>
        <w:rPr>
          <w:rFonts w:ascii="Arial" w:hAnsi="Arial"/>
          <w:b/>
          <w:i w:val="0"/>
          <w:color w:val="555555"/>
          <w:sz w:val="19"/>
        </w:rPr>
        <w:t xml:space="preserve">Data cut-off: </w:t>
      </w:r>
      <w:r>
        <w:rPr>
          <w:rFonts w:ascii="Arial" w:hAnsi="Arial"/>
          <w:b w:val="0"/>
          <w:i w:val="0"/>
          <w:color w:val="111111"/>
          <w:sz w:val="19"/>
        </w:rPr>
        <w:t>31 August 2026</w:t>
      </w:r>
    </w:p>
    <w:p>
      <w:pPr>
        <w:spacing w:after="80"/>
      </w:pPr>
      <w:r>
        <w:rPr>
          <w:rFonts w:ascii="Arial" w:hAnsi="Arial"/>
          <w:b/>
          <w:i w:val="0"/>
          <w:color w:val="555555"/>
          <w:sz w:val="19"/>
        </w:rPr>
        <w:t xml:space="preserve">Decision: </w:t>
      </w:r>
      <w:r>
        <w:rPr>
          <w:rFonts w:ascii="Arial" w:hAnsi="Arial"/>
          <w:b w:val="0"/>
          <w:i w:val="0"/>
          <w:color w:val="111111"/>
          <w:sz w:val="19"/>
        </w:rPr>
        <w:t>CONDITIONAL GO</w:t>
      </w:r>
    </w:p>
    <w:p>
      <w:pPr>
        <w:spacing w:after="80"/>
      </w:pPr>
      <w:r>
        <w:rPr>
          <w:rFonts w:ascii="Arial" w:hAnsi="Arial"/>
          <w:b/>
          <w:i w:val="0"/>
          <w:color w:val="555555"/>
          <w:sz w:val="19"/>
        </w:rPr>
        <w:t xml:space="preserve">Risk level: </w:t>
      </w:r>
      <w:r>
        <w:rPr>
          <w:rFonts w:ascii="Arial" w:hAnsi="Arial"/>
          <w:b w:val="0"/>
          <w:i w:val="0"/>
          <w:color w:val="111111"/>
          <w:sz w:val="19"/>
        </w:rPr>
        <w:t>Medium; medical module High</w:t>
      </w:r>
    </w:p>
    <w:p>
      <w:pPr>
        <w:spacing w:after="80"/>
      </w:pPr>
      <w:r>
        <w:rPr>
          <w:rFonts w:ascii="Arial" w:hAnsi="Arial"/>
          <w:b/>
          <w:i w:val="0"/>
          <w:color w:val="555555"/>
          <w:sz w:val="19"/>
        </w:rPr>
        <w:t xml:space="preserve">Controlling source: </w:t>
      </w:r>
      <w:r>
        <w:rPr>
          <w:rFonts w:ascii="Arial" w:hAnsi="Arial"/>
          <w:b w:val="0"/>
          <w:i w:val="0"/>
          <w:color w:val="111111"/>
          <w:sz w:val="19"/>
        </w:rPr>
        <w:t>ALFA New Ventures Master Data Register v1.0</w:t>
      </w:r>
    </w:p>
    <w:p>
      <w:pPr>
        <w:keepNext w:val="0"/>
        <w:spacing w:after="480"/>
      </w:pPr>
      <w:r>
        <w:rPr>
          <w:rFonts w:ascii="Arial" w:hAnsi="Arial"/>
          <w:b w:val="0"/>
          <w:i/>
          <w:color w:val="888888"/>
          <w:sz w:val="18"/>
        </w:rPr>
        <w:t>Consolidated from completed research and locked evidence. Internal decision review.</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4</w:t>
            </w:r>
          </w:p>
          <w:p>
            <w:pPr>
              <w:spacing w:after="0"/>
            </w:pPr>
            <w:r>
              <w:rPr>
                <w:rFonts w:ascii="Arial" w:hAnsi="Arial"/>
                <w:b/>
                <w:i w:val="0"/>
                <w:color w:val="555555"/>
                <w:sz w:val="14"/>
              </w:rPr>
              <w:t>Storage formats</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46-73M</w:t>
            </w:r>
          </w:p>
          <w:p>
            <w:pPr>
              <w:spacing w:after="0"/>
            </w:pPr>
            <w:r>
              <w:rPr>
                <w:rFonts w:ascii="Arial" w:hAnsi="Arial"/>
                <w:b/>
                <w:i w:val="0"/>
                <w:color w:val="555555"/>
                <w:sz w:val="14"/>
              </w:rPr>
              <w:t>Optimal total capital</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4.5-7.5M</w:t>
            </w:r>
          </w:p>
          <w:p>
            <w:pPr>
              <w:spacing w:after="0"/>
            </w:pPr>
            <w:r>
              <w:rPr>
                <w:rFonts w:ascii="Arial" w:hAnsi="Arial"/>
                <w:b/>
                <w:i w:val="0"/>
                <w:color w:val="555555"/>
                <w:sz w:val="14"/>
              </w:rPr>
              <w:t>Stabilised rent</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12-15%</w:t>
            </w:r>
          </w:p>
          <w:p>
            <w:pPr>
              <w:spacing w:after="0"/>
            </w:pPr>
            <w:r>
              <w:rPr>
                <w:rFonts w:ascii="Arial" w:hAnsi="Arial"/>
                <w:b/>
                <w:i w:val="0"/>
                <w:color w:val="555555"/>
                <w:sz w:val="14"/>
              </w:rPr>
              <w:t>Five-year equity IRR</w:t>
            </w:r>
          </w:p>
        </w:tc>
      </w:tr>
    </w:tbl>
    <w:p>
      <w:pPr>
        <w:spacing w:after="60"/>
      </w:pPr>
    </w:p>
    <w:p>
      <w:pPr>
        <w:keepNext w:val="0"/>
        <w:spacing w:after="80"/>
      </w:pPr>
      <w:r>
        <w:rPr>
          <w:rFonts w:ascii="Arial" w:hAnsi="Arial"/>
          <w:b/>
          <w:i w:val="0"/>
          <w:color w:val="888888"/>
          <w:sz w:val="16"/>
        </w:rPr>
        <w:t>Evidence rule</w:t>
      </w:r>
    </w:p>
    <w:p>
      <w:pPr>
        <w:keepNext w:val="0"/>
        <w:spacing w:after="0"/>
      </w:pPr>
      <w:r>
        <w:rPr>
          <w:rFonts w:ascii="Arial" w:hAnsi="Arial"/>
          <w:b w:val="0"/>
          <w:i w:val="0"/>
          <w:color w:val="555555"/>
          <w:sz w:val="18"/>
        </w:rPr>
        <w:t>Published facts, company-reported figures, calculations and modelled assumptions remain separately labelled. Missing quotations, contracts and live operating evidence have not been invented.</w:t>
      </w:r>
    </w:p>
    <w:p>
      <w:r>
        <w:br w:type="page"/>
      </w:r>
    </w:p>
    <w:p>
      <w:pPr>
        <w:pStyle w:val="Heading1"/>
      </w:pPr>
      <w:r>
        <w:t>Report map</w:t>
      </w:r>
    </w:p>
    <w:tbl>
      <w:tblPr>
        <w:tblStyle w:val="TableGrid"/>
        <w:tblW w:type="dxa" w:w="9640"/>
        <w:tblLayout w:type="fixed"/>
        <w:tblLook w:firstColumn="1" w:firstRow="1" w:lastColumn="0" w:lastRow="0" w:noHBand="0" w:noVBand="1" w:val="04A0"/>
        <w:jc w:val="left"/>
        <w:tblInd w:w="0" w:type="dxa"/>
      </w:tblPr>
      <w:tblGrid>
        <w:gridCol w:w="1300"/>
        <w:gridCol w:w="8340"/>
      </w:tblGrid>
      <w:tr>
        <w:trPr>
          <w:cantSplit/>
          <w:tblHeader w:val="true"/>
          <w:cantSplit/>
        </w:trPr>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8"/>
              </w:rPr>
              <w:t>SECTION</w:t>
            </w:r>
          </w:p>
        </w:tc>
        <w:tc>
          <w:tcPr>
            <w:tcW w:type="dxa" w:w="8340"/>
            <w:tcMar>
              <w:top w:w="90" w:type="dxa"/>
              <w:start w:w="120" w:type="dxa"/>
              <w:bottom w:w="90" w:type="dxa"/>
              <w:end w:w="120" w:type="dxa"/>
            </w:tcMar>
            <w:shd w:fill="111111"/>
            <w:vAlign w:val="center"/>
          </w:tcPr>
          <w:p>
            <w:pPr>
              <w:spacing w:after="0"/>
            </w:pPr>
            <w:r>
              <w:rPr>
                <w:rFonts w:ascii="Arial" w:hAnsi="Arial"/>
                <w:b/>
                <w:i w:val="0"/>
                <w:color w:val="FFFFFF"/>
                <w:sz w:val="18"/>
              </w:rPr>
              <w:t>CONTENT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01</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Decision and scope</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02</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Business model and market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03</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Commercial model, capital and returns</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04</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Operations, regulation and risks</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05</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Diligence, conflicts and evidence register</w:t>
            </w:r>
          </w:p>
        </w:tc>
      </w:tr>
    </w:tbl>
    <w:p>
      <w:pPr>
        <w:spacing w:after="40"/>
      </w:pPr>
    </w:p>
    <w:p>
      <w:pPr>
        <w:keepNext w:val="0"/>
        <w:spacing w:after="120"/>
      </w:pPr>
      <w:r>
        <w:rPr>
          <w:rFonts w:ascii="Arial" w:hAnsi="Arial"/>
          <w:b w:val="0"/>
          <w:i w:val="0"/>
          <w:color w:val="555555"/>
          <w:sz w:val="18"/>
        </w:rPr>
        <w:t>Use Word's navigation pane to move through the heading hierarchy. Every material figure is repeated in the claim register with its evidence classification and source reference.</w:t>
      </w:r>
    </w:p>
    <w:p>
      <w:pPr>
        <w:pStyle w:val="Heading1"/>
      </w:pPr>
      <w:r>
        <w:t>Executive summary</w:t>
      </w:r>
    </w:p>
    <w:p>
      <w:pPr>
        <w:keepNext w:val="0"/>
        <w:spacing w:after="200"/>
      </w:pPr>
      <w:r>
        <w:rPr>
          <w:rFonts w:ascii="Arial" w:hAnsi="Arial"/>
          <w:b w:val="0"/>
          <w:i w:val="0"/>
          <w:color w:val="111111"/>
          <w:sz w:val="22"/>
        </w:rPr>
        <w:t>A four-format logistics platform can be credible only when dry, industrial, cold and medical/pharmaceutical storage are underwritten as separate products. Shared land, access, security and management may create operating leverage, but the capital, power, licensing and tenant economics do not transfer across formats.</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4</w:t>
            </w:r>
          </w:p>
          <w:p>
            <w:pPr>
              <w:spacing w:after="0"/>
            </w:pPr>
            <w:r>
              <w:rPr>
                <w:rFonts w:ascii="Arial" w:hAnsi="Arial"/>
                <w:b/>
                <w:i w:val="0"/>
                <w:color w:val="555555"/>
                <w:sz w:val="14"/>
              </w:rPr>
              <w:t>Storage formats</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46-73M</w:t>
            </w:r>
          </w:p>
          <w:p>
            <w:pPr>
              <w:spacing w:after="0"/>
            </w:pPr>
            <w:r>
              <w:rPr>
                <w:rFonts w:ascii="Arial" w:hAnsi="Arial"/>
                <w:b/>
                <w:i w:val="0"/>
                <w:color w:val="555555"/>
                <w:sz w:val="14"/>
              </w:rPr>
              <w:t>Optimal total capital</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4.5-7.5M</w:t>
            </w:r>
          </w:p>
          <w:p>
            <w:pPr>
              <w:spacing w:after="0"/>
            </w:pPr>
            <w:r>
              <w:rPr>
                <w:rFonts w:ascii="Arial" w:hAnsi="Arial"/>
                <w:b/>
                <w:i w:val="0"/>
                <w:color w:val="555555"/>
                <w:sz w:val="14"/>
              </w:rPr>
              <w:t>Stabilised rent</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12-15%</w:t>
            </w:r>
          </w:p>
          <w:p>
            <w:pPr>
              <w:spacing w:after="0"/>
            </w:pPr>
            <w:r>
              <w:rPr>
                <w:rFonts w:ascii="Arial" w:hAnsi="Arial"/>
                <w:b/>
                <w:i w:val="0"/>
                <w:color w:val="555555"/>
                <w:sz w:val="14"/>
              </w:rPr>
              <w:t>Five-year equity IRR</w:t>
            </w:r>
          </w:p>
        </w:tc>
      </w:tr>
    </w:tbl>
    <w:p>
      <w:pPr>
        <w:spacing w:after="60"/>
      </w:pPr>
    </w:p>
    <w:tbl>
      <w:tblPr>
        <w:tblStyle w:val="TableGrid"/>
        <w:tblW w:type="dxa" w:w="9640"/>
        <w:tblLayout w:type="fixed"/>
        <w:tblLook w:firstColumn="1" w:firstRow="1" w:lastColumn="0" w:lastRow="0" w:noHBand="0" w:noVBand="1" w:val="04A0"/>
        <w:jc w:val="left"/>
        <w:tblInd w:w="0" w:type="dxa"/>
      </w:tblPr>
      <w:tblGrid>
        <w:gridCol w:w="2300"/>
        <w:gridCol w:w="73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7"/>
              </w:rPr>
              <w:t>DECISION ITEM</w:t>
            </w:r>
          </w:p>
        </w:tc>
        <w:tc>
          <w:tcPr>
            <w:tcW w:type="dxa" w:w="7340"/>
            <w:tcMar>
              <w:top w:w="90" w:type="dxa"/>
              <w:start w:w="120" w:type="dxa"/>
              <w:bottom w:w="90" w:type="dxa"/>
              <w:end w:w="120" w:type="dxa"/>
            </w:tcMar>
            <w:shd w:fill="111111"/>
            <w:vAlign w:val="center"/>
          </w:tcPr>
          <w:p>
            <w:pPr>
              <w:spacing w:after="0"/>
            </w:pPr>
            <w:r>
              <w:rPr>
                <w:rFonts w:ascii="Arial" w:hAnsi="Arial"/>
                <w:b/>
                <w:i w:val="0"/>
                <w:color w:val="FFFFFF"/>
                <w:sz w:val="17"/>
              </w:rPr>
              <w:t>LOCKED POSITION</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Decision</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CONDITIONAL GO</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Preferred model</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Acquire or pre-lease institutional dry/industrial space; develop modular cold storage only against demand; add medical/pharma as a separately licensed, pre-committed module with a licensed operator.</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Gate before commitment</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Tenant or anchor demand, site power, entry yield, complete installed cost and regulatory route must be confirmed before property commitment.</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Source status</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Industrial, cold-storage and medical/pharmaceutical research available; consolidated platform report pending.</w:t>
            </w:r>
          </w:p>
        </w:tc>
      </w:tr>
    </w:tbl>
    <w:p>
      <w:pPr>
        <w:spacing w:after="40"/>
      </w:pPr>
    </w:p>
    <w:p>
      <w:pPr>
        <w:pStyle w:val="Heading2"/>
      </w:pPr>
      <w:r>
        <w:t>Principal advantages</w:t>
      </w:r>
    </w:p>
    <w:p>
      <w:pPr>
        <w:pStyle w:val="ListBullet"/>
      </w:pPr>
      <w:r>
        <w:t>Four warehouse formats, each underwritten separately. Medical/pharma capacity is anchor-led and regulated.</w:t>
      </w:r>
    </w:p>
    <w:p>
      <w:pPr>
        <w:pStyle w:val="ListBullet"/>
      </w:pPr>
      <w:r>
        <w:t>Location selection must be driven by tenant catchment, road access, utility capacity, land tenure and the regulatory route. No single site is approved in the locked register.</w:t>
      </w:r>
    </w:p>
    <w:p>
      <w:pPr>
        <w:pStyle w:val="ListBullet"/>
      </w:pPr>
      <w:r>
        <w:t>The selected entry model is: Acquire or pre-lease institutional dry/industrial space; develop modular cold storage only against demand; add medical/pharma as a separately licensed, pre-committed module with a licensed operator.</w:t>
      </w:r>
    </w:p>
    <w:p>
      <w:pPr>
        <w:pStyle w:val="Heading2"/>
      </w:pPr>
      <w:r>
        <w:t>Principal weaknesses</w:t>
      </w:r>
    </w:p>
    <w:p>
      <w:pPr>
        <w:pStyle w:val="ListBullet"/>
      </w:pPr>
      <w:r>
        <w:t>Building specialist capacity before anchor demand</w:t>
      </w:r>
    </w:p>
    <w:p>
      <w:pPr>
        <w:pStyle w:val="ListBullet"/>
      </w:pPr>
      <w:r>
        <w:t>Applying industrial-property returns to cold or medical formats</w:t>
      </w:r>
    </w:p>
    <w:p>
      <w:pPr>
        <w:pStyle w:val="ListBullet"/>
      </w:pPr>
      <w:r>
        <w:t>Power, refrigeration and installed-cost overruns</w:t>
      </w:r>
    </w:p>
    <w:p>
      <w:pPr>
        <w:pStyle w:val="ListBullet"/>
      </w:pPr>
      <w:r>
        <w:t>Regulatory and operator failure in the medical module</w:t>
      </w:r>
    </w:p>
    <w:p>
      <w:r>
        <w:br w:type="page"/>
      </w:r>
    </w:p>
    <w:p>
      <w:pPr>
        <w:pStyle w:val="Heading1"/>
      </w:pPr>
      <w:r>
        <w:t>Research scope and business model</w:t>
      </w:r>
    </w:p>
    <w:p>
      <w:pPr>
        <w:keepNext w:val="0"/>
        <w:spacing w:after="120"/>
      </w:pPr>
      <w:r>
        <w:rPr>
          <w:rFonts w:ascii="Arial" w:hAnsi="Arial"/>
          <w:b w:val="0"/>
          <w:i w:val="0"/>
          <w:color w:val="111111"/>
          <w:sz w:val="20"/>
        </w:rPr>
        <w:t>This report formalises the locked decision case for B2B Warehousing. It preserves the current evidence boundary and identifies the commercial proof required before commitment.</w:t>
      </w:r>
    </w:p>
    <w:p>
      <w:pPr>
        <w:pStyle w:val="Heading2"/>
      </w:pPr>
      <w:r>
        <w:t>Customer groups</w:t>
      </w:r>
    </w:p>
    <w:p>
      <w:pPr>
        <w:pStyle w:val="ListBullet"/>
      </w:pPr>
      <w:r>
        <w:t>Industrial occupiers and distributors requiring dry or industrial storage</w:t>
      </w:r>
    </w:p>
    <w:p>
      <w:pPr>
        <w:pStyle w:val="ListBullet"/>
      </w:pPr>
      <w:r>
        <w:t>Food, hospitality and distribution businesses requiring temperature-controlled capacity</w:t>
      </w:r>
    </w:p>
    <w:p>
      <w:pPr>
        <w:pStyle w:val="ListBullet"/>
      </w:pPr>
      <w:r>
        <w:t>Pharmaceutical and medical-product companies requiring a licensed storage route</w:t>
      </w:r>
    </w:p>
    <w:p>
      <w:pPr>
        <w:pStyle w:val="ListBullet"/>
      </w:pPr>
      <w:r>
        <w:t>Anchor tenants able to pre-commit before specialist fit-out</w:t>
      </w:r>
    </w:p>
    <w:p>
      <w:pPr>
        <w:pStyle w:val="Heading2"/>
      </w:pPr>
      <w:r>
        <w:t>Products or operating segments</w:t>
      </w:r>
    </w:p>
    <w:p>
      <w:pPr>
        <w:pStyle w:val="ListBullet"/>
      </w:pPr>
      <w:r>
        <w:t>Dry storage</w:t>
      </w:r>
    </w:p>
    <w:p>
      <w:pPr>
        <w:pStyle w:val="ListBullet"/>
      </w:pPr>
      <w:r>
        <w:t>Industrial warehousing</w:t>
      </w:r>
    </w:p>
    <w:p>
      <w:pPr>
        <w:pStyle w:val="ListBullet"/>
      </w:pPr>
      <w:r>
        <w:t>Cold storage</w:t>
      </w:r>
    </w:p>
    <w:p>
      <w:pPr>
        <w:pStyle w:val="ListBullet"/>
      </w:pPr>
      <w:r>
        <w:t>Medical and pharmaceutical warehousing</w:t>
      </w:r>
    </w:p>
    <w:p>
      <w:pPr>
        <w:pStyle w:val="Heading2"/>
      </w:pPr>
      <w:r>
        <w:t>Revenue model</w:t>
      </w:r>
    </w:p>
    <w:p>
      <w:pPr>
        <w:pStyle w:val="ListBullet"/>
      </w:pPr>
      <w:r>
        <w:t>Long-duration rent or managed-storage contracts</w:t>
      </w:r>
    </w:p>
    <w:p>
      <w:pPr>
        <w:pStyle w:val="ListBullet"/>
      </w:pPr>
      <w:r>
        <w:t>Temperature-controlled storage tariffs</w:t>
      </w:r>
    </w:p>
    <w:p>
      <w:pPr>
        <w:pStyle w:val="ListBullet"/>
      </w:pPr>
      <w:r>
        <w:t>Handling and value-added logistics where contracted</w:t>
      </w:r>
    </w:p>
    <w:p>
      <w:pPr>
        <w:pStyle w:val="ListBullet"/>
      </w:pPr>
      <w:r>
        <w:t>Regulated medical/pharma services through an approved operating structure</w:t>
      </w:r>
    </w:p>
    <w:p>
      <w:pPr>
        <w:pStyle w:val="Heading2"/>
      </w:pPr>
      <w:r>
        <w:t>Preferred entry model</w:t>
      </w:r>
    </w:p>
    <w:p>
      <w:pPr>
        <w:keepNext w:val="0"/>
        <w:spacing w:after="120"/>
      </w:pPr>
      <w:r>
        <w:rPr>
          <w:rFonts w:ascii="Arial" w:hAnsi="Arial"/>
          <w:b w:val="0"/>
          <w:i w:val="0"/>
          <w:color w:val="111111"/>
          <w:sz w:val="20"/>
        </w:rPr>
        <w:t>Acquire or pre-lease institutional dry/industrial space; develop modular cold storage only against demand; add medical/pharma as a separately licensed, pre-committed module with a licensed operator.</w:t>
      </w:r>
    </w:p>
    <w:p>
      <w:pPr>
        <w:pStyle w:val="Heading2"/>
      </w:pPr>
      <w:r>
        <w:t>Location logic</w:t>
      </w:r>
    </w:p>
    <w:p>
      <w:pPr>
        <w:keepNext w:val="0"/>
        <w:spacing w:after="120"/>
      </w:pPr>
      <w:r>
        <w:rPr>
          <w:rFonts w:ascii="Arial" w:hAnsi="Arial"/>
          <w:b w:val="0"/>
          <w:i w:val="0"/>
          <w:color w:val="111111"/>
          <w:sz w:val="20"/>
        </w:rPr>
        <w:t>Location selection must be driven by tenant catchment, road access, utility capacity, land tenure and the regulatory route. No single site is approved in the locked register.</w:t>
      </w:r>
    </w:p>
    <w:p>
      <w:pPr>
        <w:pStyle w:val="Heading1"/>
      </w:pPr>
      <w:r>
        <w:t>Market and demand</w:t>
      </w:r>
    </w:p>
    <w:p>
      <w:pPr>
        <w:keepNext w:val="0"/>
        <w:spacing w:after="80"/>
      </w:pPr>
      <w:r>
        <w:rPr>
          <w:rFonts w:ascii="Arial" w:hAnsi="Arial"/>
          <w:b w:val="0"/>
          <w:i w:val="0"/>
          <w:color w:val="111111"/>
          <w:sz w:val="19"/>
        </w:rPr>
        <w:t>Four separately underwritten formats: dry, industrial, cold and medical/pharmaceutical.</w:t>
      </w:r>
    </w:p>
    <w:p>
      <w:pPr>
        <w:keepNext w:val="0"/>
        <w:spacing w:after="80"/>
      </w:pPr>
      <w:r>
        <w:rPr>
          <w:rFonts w:ascii="Arial" w:hAnsi="Arial"/>
          <w:b w:val="0"/>
          <w:i w:val="0"/>
          <w:color w:val="111111"/>
          <w:sz w:val="19"/>
        </w:rPr>
        <w:t>Industry research estimates the UAE cold-chain market at approximately USD1.83B in 2026.</w:t>
      </w:r>
    </w:p>
    <w:p>
      <w:pPr>
        <w:keepNext w:val="0"/>
        <w:spacing w:after="80"/>
      </w:pPr>
      <w:r>
        <w:rPr>
          <w:rFonts w:ascii="Arial" w:hAnsi="Arial"/>
          <w:b w:val="0"/>
          <w:i w:val="0"/>
          <w:color w:val="111111"/>
          <w:sz w:val="19"/>
        </w:rPr>
        <w:t>Minimum 6-8% stabilised yield-on-cost target for cold storage.</w:t>
      </w:r>
    </w:p>
    <w:p>
      <w:pPr>
        <w:keepNext w:val="0"/>
        <w:spacing w:after="80"/>
      </w:pPr>
      <w:r>
        <w:rPr>
          <w:rFonts w:ascii="Arial" w:hAnsi="Arial"/>
          <w:b w:val="0"/>
          <w:i w:val="0"/>
          <w:color w:val="111111"/>
          <w:sz w:val="19"/>
        </w:rPr>
        <w:t>The broad UAE healthcare 3PL market was estimated at approximately AED6.99B in 2025.</w:t>
      </w:r>
    </w:p>
    <w:p>
      <w:pPr>
        <w:keepNext w:val="0"/>
        <w:spacing w:after="80"/>
      </w:pPr>
      <w:r>
        <w:rPr>
          <w:rFonts w:ascii="Arial" w:hAnsi="Arial"/>
          <w:b w:val="0"/>
          <w:i w:val="0"/>
          <w:color w:val="111111"/>
          <w:sz w:val="19"/>
        </w:rPr>
        <w:t>Industry forecast: 8.0% CAGR for the UAE healthcare 3PL market, 2026-2033.</w:t>
      </w:r>
    </w:p>
    <w:p>
      <w:pPr>
        <w:keepNext w:val="0"/>
        <w:spacing w:after="80"/>
      </w:pPr>
      <w:r>
        <w:rPr>
          <w:rFonts w:ascii="Arial" w:hAnsi="Arial"/>
          <w:b w:val="0"/>
          <w:i w:val="0"/>
          <w:color w:val="111111"/>
          <w:sz w:val="19"/>
        </w:rPr>
        <w:t>More than 5,700 healthcare facilities in the UAE.</w:t>
      </w:r>
    </w:p>
    <w:p>
      <w:pPr>
        <w:keepNext w:val="0"/>
        <w:spacing w:after="80"/>
      </w:pPr>
      <w:r>
        <w:rPr>
          <w:rFonts w:ascii="Arial" w:hAnsi="Arial"/>
          <w:b w:val="0"/>
          <w:i w:val="0"/>
          <w:color w:val="111111"/>
          <w:sz w:val="19"/>
        </w:rPr>
        <w:t>UAE annual healthcare spending was approximately AED100B in 2024.</w:t>
      </w:r>
    </w:p>
    <w:p>
      <w:pPr>
        <w:keepNext w:val="0"/>
        <w:spacing w:after="80"/>
      </w:pPr>
      <w:r>
        <w:rPr>
          <w:rFonts w:ascii="Arial" w:hAnsi="Arial"/>
          <w:b w:val="0"/>
          <w:i w:val="0"/>
          <w:color w:val="111111"/>
          <w:sz w:val="19"/>
        </w:rPr>
        <w:t>EDE reported more than 568 medical-warehouse inspections since the start of 2026.</w:t>
      </w:r>
    </w:p>
    <w:p>
      <w:pPr>
        <w:keepNext w:val="0"/>
        <w:spacing w:after="80"/>
      </w:pPr>
      <w:r>
        <w:rPr>
          <w:rFonts w:ascii="Arial" w:hAnsi="Arial"/>
          <w:b w:val="0"/>
          <w:i w:val="0"/>
          <w:color w:val="111111"/>
          <w:sz w:val="19"/>
        </w:rPr>
        <w:t>AED9,600 direct EDE application, inspection and licence fees for a standard medical warehouse.</w:t>
      </w:r>
    </w:p>
    <w:p>
      <w:pPr>
        <w:keepNext w:val="0"/>
        <w:spacing w:after="80"/>
      </w:pPr>
      <w:r>
        <w:rPr>
          <w:rFonts w:ascii="Arial" w:hAnsi="Arial"/>
          <w:b w:val="0"/>
          <w:i w:val="0"/>
          <w:color w:val="111111"/>
          <w:sz w:val="19"/>
        </w:rPr>
        <w:t>AED12,100 direct EDE application, inspection and licence fees for a re-export warehouse.</w:t>
      </w:r>
    </w:p>
    <w:p>
      <w:pPr>
        <w:keepNext w:val="0"/>
        <w:spacing w:after="80"/>
      </w:pPr>
      <w:r>
        <w:rPr>
          <w:rFonts w:ascii="Arial" w:hAnsi="Arial"/>
          <w:b w:val="0"/>
          <w:i w:val="0"/>
          <w:color w:val="111111"/>
          <w:sz w:val="19"/>
        </w:rPr>
        <w:t>Recommended phase one: controlled ambient 15-25C plus a smaller expandable 2-8C zone.</w:t>
      </w:r>
    </w:p>
    <w:p>
      <w:pPr>
        <w:keepNext w:val="0"/>
        <w:spacing w:after="80"/>
      </w:pPr>
      <w:r>
        <w:rPr>
          <w:rFonts w:ascii="Arial" w:hAnsi="Arial"/>
          <w:b w:val="0"/>
          <w:i w:val="0"/>
          <w:color w:val="111111"/>
          <w:sz w:val="19"/>
        </w:rPr>
        <w:t>Dedicated pharmaceutical-storage TAM, SAM and first-facility SOM are not publicly verified.</w:t>
      </w:r>
    </w:p>
    <w:p>
      <w:pPr>
        <w:keepNext w:val="0"/>
        <w:spacing w:after="80"/>
      </w:pPr>
      <w:r>
        <w:rPr>
          <w:rFonts w:ascii="Arial" w:hAnsi="Arial"/>
          <w:b w:val="0"/>
          <w:i w:val="0"/>
          <w:color w:val="111111"/>
          <w:sz w:val="19"/>
        </w:rPr>
        <w:t>Do not publish a medical-warehouse project CAPEX or IRR until the site, specification, operator and tariffs are quoted.</w:t>
      </w:r>
    </w:p>
    <w:p>
      <w:pPr>
        <w:pStyle w:val="Heading2"/>
      </w:pPr>
      <w:r>
        <w:t>Competition and positioning</w:t>
      </w:r>
    </w:p>
    <w:p>
      <w:pPr>
        <w:keepNext w:val="0"/>
        <w:spacing w:after="120"/>
      </w:pPr>
      <w:r>
        <w:rPr>
          <w:rFonts w:ascii="Arial" w:hAnsi="Arial"/>
          <w:b w:val="0"/>
          <w:i w:val="0"/>
          <w:color w:val="111111"/>
          <w:sz w:val="20"/>
        </w:rPr>
        <w:t>A complete live competitor, pricing and capacity schedule is not contained in the controlling register. Competitive positioning must therefore be validated against current operators, current assets and current customer quotations before commitment.</w:t>
      </w:r>
    </w:p>
    <w:p>
      <w:r>
        <w:br w:type="page"/>
      </w:r>
    </w:p>
    <w:p>
      <w:pPr>
        <w:pStyle w:val="Heading1"/>
      </w:pPr>
      <w:r>
        <w:t>Pricing, revenue, CAPEX and returns</w:t>
      </w:r>
    </w:p>
    <w:tbl>
      <w:tblPr>
        <w:tblStyle w:val="TableGrid"/>
        <w:tblW w:type="dxa" w:w="9640"/>
        <w:tblLayout w:type="fixed"/>
        <w:tblLook w:firstColumn="1" w:firstRow="1" w:lastColumn="0" w:lastRow="0" w:noHBand="0" w:noVBand="1" w:val="04A0"/>
        <w:jc w:val="left"/>
        <w:tblInd w:w="0" w:type="dxa"/>
      </w:tblPr>
      <w:tblGrid>
        <w:gridCol w:w="2300"/>
        <w:gridCol w:w="1450"/>
        <w:gridCol w:w="1100"/>
        <w:gridCol w:w="1450"/>
        <w:gridCol w:w="2300"/>
        <w:gridCol w:w="10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UNIT</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040"/>
            <w:tcMar>
              <w:top w:w="90" w:type="dxa"/>
              <w:start w:w="120" w:type="dxa"/>
              <w:bottom w:w="90" w:type="dxa"/>
              <w:end w:w="120" w:type="dxa"/>
            </w:tcMar>
            <w:shd w:fill="111111"/>
            <w:vAlign w:val="center"/>
          </w:tcPr>
          <w:p>
            <w:pPr>
              <w:spacing w:after="0"/>
            </w:pPr>
            <w:r>
              <w:rPr>
                <w:rFonts w:ascii="Arial" w:hAnsi="Arial"/>
                <w:b/>
                <w:i w:val="0"/>
                <w:color w:val="FFFFFF"/>
                <w:sz w:val="14"/>
              </w:rPr>
              <w:t>SOURCE</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Storage formats</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4</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formats</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plan</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S01/S02/S03</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Optimal total capital</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AED 46-73M</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2026 planning case</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S01</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Stabilised rent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AED 4.5-7.5M</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AED/year</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planning case</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S01</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Five-year equity IRR</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12-15%</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Five-year hold</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S01</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Five-year equity multiple</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1.8-2.1x</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x</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Five-year hold</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S01</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UAE cold-chain market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USD 1.83B</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USD</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2026</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INDUSTRY ESTIMATE</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S02</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Stabilised yield-on-cost hurdle</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6-8%</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recommendation</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S02</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Broad healthcare 3PL ceiling</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AED 6.99B</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2025</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INDUSTRY ESTIMATE</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S03</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Healthcare 3PL CAGR</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8.0%</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 CAGR</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2026-2033</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INDUSTRY ESTIMATE</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S03</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Healthcare facilities</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5700</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facilities, more than</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2026 report; spend 2024</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GOVERNMENT / PRIMARY-SOURCE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S03</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Annual healthcare spending</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AED 100B</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AED/year</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2024</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GOVERNMENT / PRIMARY-SOURCE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S03</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Medical-warehouse inspections</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568</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inspections, more than</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Since start of 2026; reported March 2026</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GOVERNMENT / PRIMARY-SOURCE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S03</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Direct EDE fees - standard warehouse</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9600</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Current Aug 2026</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GOVERNMENT / PRIMARY-SOURCE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S03</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Direct EDE fees - re-export warehouse</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12100</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Current Aug 2026</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GOVERNMENT / PRIMARY-SOURCE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S03</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Phase-one temperature bands</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15-25C plus expandable 2-8C</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degrees Celsius</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recommendation</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S03</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Dedicated storage TAM/SAM/SOM</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Not publicly verified</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n/a</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2026 research</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NOT PUBLICLY VERIFIED</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S03</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Project CAPEX and IRR</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Requires quotes and contracts</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n/a</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research</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REQUIRES SUPPLIER QUOTE</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S03</w:t>
            </w:r>
          </w:p>
        </w:tc>
      </w:tr>
    </w:tbl>
    <w:p>
      <w:pPr>
        <w:spacing w:after="40"/>
      </w:pPr>
    </w:p>
    <w:p>
      <w:pPr>
        <w:keepNext w:val="0"/>
        <w:spacing w:after="120"/>
      </w:pPr>
      <w:r>
        <w:rPr>
          <w:rFonts w:ascii="Arial" w:hAnsi="Arial"/>
          <w:b w:val="0"/>
          <w:i/>
          <w:color w:val="555555"/>
          <w:sz w:val="17"/>
        </w:rPr>
        <w:t>All model outputs remain conditional on the underlying transaction, quotation or operating assumptions. No modelled return is a guaranteed result.</w:t>
      </w:r>
    </w:p>
    <w:p>
      <w:pPr>
        <w:pStyle w:val="Heading2"/>
      </w:pPr>
      <w:r>
        <w:t>Revenue drivers</w:t>
      </w:r>
    </w:p>
    <w:p>
      <w:pPr>
        <w:pStyle w:val="ListBullet"/>
      </w:pPr>
      <w:r>
        <w:t>AED 4.5-7.5M stabilised annual rent in the industrial IC case.</w:t>
      </w:r>
    </w:p>
    <w:p>
      <w:pPr>
        <w:pStyle w:val="Heading2"/>
      </w:pPr>
      <w:r>
        <w:t>Cost and return limitations</w:t>
      </w:r>
    </w:p>
    <w:p>
      <w:pPr>
        <w:pStyle w:val="ListBullet"/>
      </w:pPr>
      <w:r>
        <w:t>Do not apply one financial model across all formats.</w:t>
      </w:r>
    </w:p>
    <w:p>
      <w:pPr>
        <w:pStyle w:val="ListBullet"/>
      </w:pPr>
      <w:r>
        <w:t>Not a platform-wide or medical-warehouse capital range.</w:t>
      </w:r>
    </w:p>
    <w:p>
      <w:pPr>
        <w:pStyle w:val="ListBullet"/>
      </w:pPr>
      <w:r>
        <w:t>Requires a specific tenant and asset schedule.</w:t>
      </w:r>
    </w:p>
    <w:p>
      <w:pPr>
        <w:pStyle w:val="ListBullet"/>
      </w:pPr>
      <w:r>
        <w:t>Not verified return and not applicable to cold or medical formats.</w:t>
      </w:r>
    </w:p>
    <w:p>
      <w:pPr>
        <w:pStyle w:val="ListBullet"/>
      </w:pPr>
      <w:r>
        <w:t>Transaction underwriting required.</w:t>
      </w:r>
    </w:p>
    <w:p>
      <w:pPr>
        <w:pStyle w:val="ListBullet"/>
      </w:pPr>
      <w:r>
        <w:t>Investment hurdle, not observed market yield.</w:t>
      </w:r>
    </w:p>
    <w:p>
      <w:pPr>
        <w:pStyle w:val="ListBullet"/>
      </w:pPr>
      <w:r>
        <w:t>Recommendation, not regulatory requirement.</w:t>
      </w:r>
    </w:p>
    <w:p>
      <w:pPr>
        <w:pStyle w:val="ListBullet"/>
      </w:pPr>
      <w:r>
        <w:t>Must be built from customer pallet/m3 requirements and tariffs.</w:t>
      </w:r>
    </w:p>
    <w:p>
      <w:r>
        <w:br w:type="page"/>
      </w:r>
    </w:p>
    <w:p>
      <w:pPr>
        <w:pStyle w:val="Heading1"/>
      </w:pPr>
      <w:r>
        <w:t>Operating requirements</w:t>
      </w:r>
    </w:p>
    <w:p>
      <w:pPr>
        <w:pStyle w:val="ListBullet"/>
      </w:pPr>
      <w:r>
        <w:t>Site and power capacity</w:t>
      </w:r>
    </w:p>
    <w:p>
      <w:pPr>
        <w:pStyle w:val="ListBullet"/>
      </w:pPr>
      <w:r>
        <w:t>Loading, circulation and security</w:t>
      </w:r>
    </w:p>
    <w:p>
      <w:pPr>
        <w:pStyle w:val="ListBullet"/>
      </w:pPr>
      <w:r>
        <w:t>Insulation, refrigeration and monitoring for cold space</w:t>
      </w:r>
    </w:p>
    <w:p>
      <w:pPr>
        <w:pStyle w:val="ListBullet"/>
      </w:pPr>
      <w:r>
        <w:t>Separate licensing, qualified personnel and traceability for medical/pharma space</w:t>
      </w:r>
    </w:p>
    <w:p>
      <w:pPr>
        <w:pStyle w:val="Heading1"/>
      </w:pPr>
      <w:r>
        <w:t>Regulation and licensing</w:t>
      </w:r>
    </w:p>
    <w:p>
      <w:pPr>
        <w:keepNext w:val="0"/>
        <w:spacing w:after="120"/>
      </w:pPr>
      <w:r>
        <w:rPr>
          <w:rFonts w:ascii="Arial" w:hAnsi="Arial"/>
          <w:b w:val="0"/>
          <w:i w:val="0"/>
          <w:color w:val="111111"/>
          <w:sz w:val="20"/>
        </w:rPr>
        <w:t>Ordinary industrial, cold-chain and medical/pharmaceutical warehousing require different approvals. The medical module must follow the EDE licensing route and cannot be treated as ordinary warehouse space.</w:t>
      </w:r>
    </w:p>
    <w:p>
      <w:pPr>
        <w:pStyle w:val="Heading1"/>
      </w:pPr>
      <w:r>
        <w:t>Risk register</w:t>
      </w:r>
    </w:p>
    <w:tbl>
      <w:tblPr>
        <w:tblStyle w:val="TableGrid"/>
        <w:tblW w:type="dxa" w:w="9640"/>
        <w:tblLayout w:type="fixed"/>
        <w:tblLook w:firstColumn="1" w:firstRow="1" w:lastColumn="0" w:lastRow="0" w:noHBand="0" w:noVBand="1" w:val="04A0"/>
        <w:jc w:val="left"/>
        <w:tblInd w:w="0" w:type="dxa"/>
      </w:tblPr>
      <w:tblGrid>
        <w:gridCol w:w="700"/>
        <w:gridCol w:w="3600"/>
        <w:gridCol w:w="1700"/>
        <w:gridCol w:w="3640"/>
      </w:tblGrid>
      <w:tr>
        <w:trPr>
          <w:cantSplit/>
          <w:tblHeader w:val="true"/>
          <w:cantSplit/>
        </w:trPr>
        <w:tc>
          <w:tcPr>
            <w:tcW w:type="dxa" w:w="700"/>
            <w:tcMar>
              <w:top w:w="90" w:type="dxa"/>
              <w:start w:w="120" w:type="dxa"/>
              <w:bottom w:w="90" w:type="dxa"/>
              <w:end w:w="120" w:type="dxa"/>
            </w:tcMar>
            <w:shd w:fill="111111"/>
            <w:vAlign w:val="center"/>
          </w:tcPr>
          <w:p>
            <w:pPr>
              <w:spacing w:after="0"/>
            </w:pPr>
            <w:r>
              <w:rPr>
                <w:rFonts w:ascii="Arial" w:hAnsi="Arial"/>
                <w:b/>
                <w:i w:val="0"/>
                <w:color w:val="FFFFFF"/>
                <w:sz w:val="16"/>
              </w:rPr>
              <w:t>ID</w:t>
            </w:r>
          </w:p>
        </w:tc>
        <w:tc>
          <w:tcPr>
            <w:tcW w:type="dxa" w:w="3600"/>
            <w:tcMar>
              <w:top w:w="90" w:type="dxa"/>
              <w:start w:w="120" w:type="dxa"/>
              <w:bottom w:w="90" w:type="dxa"/>
              <w:end w:w="120" w:type="dxa"/>
            </w:tcMar>
            <w:shd w:fill="111111"/>
            <w:vAlign w:val="center"/>
          </w:tcPr>
          <w:p>
            <w:pPr>
              <w:spacing w:after="0"/>
            </w:pPr>
            <w:r>
              <w:rPr>
                <w:rFonts w:ascii="Arial" w:hAnsi="Arial"/>
                <w:b/>
                <w:i w:val="0"/>
                <w:color w:val="FFFFFF"/>
                <w:sz w:val="16"/>
              </w:rPr>
              <w:t>RISK</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6"/>
              </w:rPr>
              <w:t>CURRENT LEVEL</w:t>
            </w:r>
          </w:p>
        </w:tc>
        <w:tc>
          <w:tcPr>
            <w:tcW w:type="dxa" w:w="3640"/>
            <w:tcMar>
              <w:top w:w="90" w:type="dxa"/>
              <w:start w:w="120" w:type="dxa"/>
              <w:bottom w:w="90" w:type="dxa"/>
              <w:end w:w="120" w:type="dxa"/>
            </w:tcMar>
            <w:shd w:fill="111111"/>
            <w:vAlign w:val="center"/>
          </w:tcPr>
          <w:p>
            <w:pPr>
              <w:spacing w:after="0"/>
            </w:pPr>
            <w:r>
              <w:rPr>
                <w:rFonts w:ascii="Arial" w:hAnsi="Arial"/>
                <w:b/>
                <w:i w:val="0"/>
                <w:color w:val="FFFFFF"/>
                <w:sz w:val="16"/>
              </w:rPr>
              <w:t>CONTROL</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R01</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Building specialist capacity before anchor demand</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Hold commitment until the decision gate is evidenced.</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R02</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Applying industrial-property returns to cold or medical formats</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Use separate models and approval thresholds.</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R03</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Power, refrigeration and installed-cost overruns</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Obtain written quotations, contracts and technical review.</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R04</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Regulatory and operator failure in the medical module</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Run legal, operating and counterparty diligence before scale.</w:t>
            </w:r>
          </w:p>
        </w:tc>
      </w:tr>
    </w:tbl>
    <w:p>
      <w:pPr>
        <w:spacing w:after="40"/>
      </w:pPr>
    </w:p>
    <w:p>
      <w:pPr>
        <w:pStyle w:val="Heading1"/>
      </w:pPr>
      <w:r>
        <w:t>Recommendation</w:t>
      </w:r>
    </w:p>
    <w:p>
      <w:pPr>
        <w:keepNext w:val="0"/>
        <w:spacing w:after="160"/>
      </w:pPr>
      <w:r>
        <w:rPr>
          <w:rFonts w:ascii="Arial" w:hAnsi="Arial"/>
          <w:b/>
          <w:i w:val="0"/>
          <w:color w:val="111111"/>
          <w:sz w:val="32"/>
        </w:rPr>
        <w:t>CONDITIONAL GO</w:t>
      </w:r>
    </w:p>
    <w:p>
      <w:pPr>
        <w:keepNext w:val="0"/>
        <w:spacing w:after="120"/>
      </w:pPr>
      <w:r>
        <w:rPr>
          <w:rFonts w:ascii="Arial" w:hAnsi="Arial"/>
          <w:b w:val="0"/>
          <w:i w:val="0"/>
          <w:color w:val="111111"/>
          <w:sz w:val="20"/>
        </w:rPr>
        <w:t>Acquire or pre-lease institutional dry/industrial space; develop modular cold storage only against demand; add medical/pharma as a separately licensed, pre-committed module with a licensed operator.</w:t>
      </w:r>
    </w:p>
    <w:p>
      <w:pPr>
        <w:keepNext w:val="0"/>
        <w:spacing w:after="120"/>
      </w:pPr>
      <w:r>
        <w:rPr>
          <w:rFonts w:ascii="Arial" w:hAnsi="Arial"/>
          <w:b/>
          <w:i w:val="0"/>
          <w:color w:val="111111"/>
          <w:sz w:val="20"/>
        </w:rPr>
        <w:t>Condition before commitment: Tenant or anchor demand, site power, entry yield, complete installed cost and regulatory route must be confirmed before property commitment.</w:t>
      </w:r>
    </w:p>
    <w:p>
      <w:r>
        <w:br w:type="page"/>
      </w:r>
    </w:p>
    <w:p>
      <w:pPr>
        <w:pStyle w:val="Heading1"/>
      </w:pPr>
      <w:r>
        <w:t>Missing information and due diligence</w:t>
      </w:r>
    </w:p>
    <w:tbl>
      <w:tblPr>
        <w:tblStyle w:val="TableGrid"/>
        <w:tblW w:type="dxa" w:w="9640"/>
        <w:tblLayout w:type="fixed"/>
        <w:tblLook w:firstColumn="1" w:firstRow="1" w:lastColumn="0" w:lastRow="0" w:noHBand="0" w:noVBand="1" w:val="04A0"/>
        <w:jc w:val="left"/>
        <w:tblInd w:w="0" w:type="dxa"/>
      </w:tblPr>
      <w:tblGrid>
        <w:gridCol w:w="3400"/>
        <w:gridCol w:w="2200"/>
        <w:gridCol w:w="1700"/>
        <w:gridCol w:w="2340"/>
      </w:tblGrid>
      <w:tr>
        <w:trPr>
          <w:cantSplit/>
          <w:tblHeader w:val="true"/>
          <w:cantSplit/>
        </w:trPr>
        <w:tc>
          <w:tcPr>
            <w:tcW w:type="dxa" w:w="3400"/>
            <w:tcMar>
              <w:top w:w="90" w:type="dxa"/>
              <w:start w:w="120" w:type="dxa"/>
              <w:bottom w:w="90" w:type="dxa"/>
              <w:end w:w="120" w:type="dxa"/>
            </w:tcMar>
            <w:shd w:fill="111111"/>
            <w:vAlign w:val="center"/>
          </w:tcPr>
          <w:p>
            <w:pPr>
              <w:spacing w:after="0"/>
            </w:pPr>
            <w:r>
              <w:rPr>
                <w:rFonts w:ascii="Arial" w:hAnsi="Arial"/>
                <w:b/>
                <w:i w:val="0"/>
                <w:color w:val="FFFFFF"/>
                <w:sz w:val="15"/>
              </w:rPr>
              <w:t>DOCUMENT</w:t>
            </w:r>
          </w:p>
        </w:tc>
        <w:tc>
          <w:tcPr>
            <w:tcW w:type="dxa" w:w="2200"/>
            <w:tcMar>
              <w:top w:w="90" w:type="dxa"/>
              <w:start w:w="120" w:type="dxa"/>
              <w:bottom w:w="90" w:type="dxa"/>
              <w:end w:w="120" w:type="dxa"/>
            </w:tcMar>
            <w:shd w:fill="111111"/>
            <w:vAlign w:val="center"/>
          </w:tcPr>
          <w:p>
            <w:pPr>
              <w:spacing w:after="0"/>
            </w:pPr>
            <w:r>
              <w:rPr>
                <w:rFonts w:ascii="Arial" w:hAnsi="Arial"/>
                <w:b/>
                <w:i w:val="0"/>
                <w:color w:val="FFFFFF"/>
                <w:sz w:val="15"/>
              </w:rPr>
              <w:t>STATUS</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5"/>
              </w:rPr>
              <w:t>LAYER</w:t>
            </w:r>
          </w:p>
        </w:tc>
        <w:tc>
          <w:tcPr>
            <w:tcW w:type="dxa" w:w="2340"/>
            <w:tcMar>
              <w:top w:w="90" w:type="dxa"/>
              <w:start w:w="120" w:type="dxa"/>
              <w:bottom w:w="90" w:type="dxa"/>
              <w:end w:w="120" w:type="dxa"/>
            </w:tcMar>
            <w:shd w:fill="111111"/>
            <w:vAlign w:val="center"/>
          </w:tcPr>
          <w:p>
            <w:pPr>
              <w:spacing w:after="0"/>
            </w:pPr>
            <w:r>
              <w:rPr>
                <w:rFonts w:ascii="Arial" w:hAnsi="Arial"/>
                <w:b/>
                <w:i w:val="0"/>
                <w:color w:val="FFFFFF"/>
                <w:sz w:val="15"/>
              </w:rPr>
              <w:t>REQUIRED ACTION</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Industrial Warehouses Deep Research</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Available</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Source</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Retain</w:t>
            </w:r>
          </w:p>
        </w:tc>
      </w:tr>
      <w:tr>
        <w:trPr>
          <w:cantSplit/>
          <w:cantSplit/>
        </w:trPr>
        <w:tc>
          <w:tcPr>
            <w:tcW w:type="dxa" w:w="3400"/>
            <w:shd w:fill="FFFFFF"/>
            <w:vAlign w:val="top"/>
            <w:tcMar>
              <w:top w:w="90" w:type="dxa"/>
              <w:start w:w="120" w:type="dxa"/>
              <w:bottom w:w="90" w:type="dxa"/>
              <w:end w:w="120" w:type="dxa"/>
            </w:tcMar>
          </w:tcPr>
          <w:p>
            <w:pPr>
              <w:spacing w:after="0"/>
            </w:pPr>
            <w:r>
              <w:rPr>
                <w:rFonts w:ascii="Arial" w:hAnsi="Arial"/>
                <w:b/>
                <w:i w:val="0"/>
                <w:color w:val="111111"/>
                <w:sz w:val="15"/>
              </w:rPr>
              <w:t>Cold Storage Deep Research</w:t>
            </w:r>
          </w:p>
        </w:tc>
        <w:tc>
          <w:tcPr>
            <w:tcW w:type="dxa" w:w="2200"/>
            <w:shd w:fill="FFFFFF"/>
            <w:vAlign w:val="top"/>
            <w:tcMar>
              <w:top w:w="90" w:type="dxa"/>
              <w:start w:w="120" w:type="dxa"/>
              <w:bottom w:w="90" w:type="dxa"/>
              <w:end w:w="120" w:type="dxa"/>
            </w:tcMar>
          </w:tcPr>
          <w:p>
            <w:pPr>
              <w:spacing w:after="0"/>
            </w:pPr>
            <w:r>
              <w:rPr>
                <w:rFonts w:ascii="Arial" w:hAnsi="Arial"/>
                <w:b w:val="0"/>
                <w:i w:val="0"/>
                <w:color w:val="111111"/>
                <w:sz w:val="15"/>
              </w:rPr>
              <w:t>Available</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5"/>
              </w:rPr>
              <w:t>Source</w:t>
            </w:r>
          </w:p>
        </w:tc>
        <w:tc>
          <w:tcPr>
            <w:tcW w:type="dxa" w:w="2340"/>
            <w:shd w:fill="FFFFFF"/>
            <w:vAlign w:val="top"/>
            <w:tcMar>
              <w:top w:w="90" w:type="dxa"/>
              <w:start w:w="120" w:type="dxa"/>
              <w:bottom w:w="90" w:type="dxa"/>
              <w:end w:w="120" w:type="dxa"/>
            </w:tcMar>
          </w:tcPr>
          <w:p>
            <w:pPr>
              <w:spacing w:after="0"/>
            </w:pPr>
            <w:r>
              <w:rPr>
                <w:rFonts w:ascii="Arial" w:hAnsi="Arial"/>
                <w:b w:val="0"/>
                <w:i w:val="0"/>
                <w:color w:val="111111"/>
                <w:sz w:val="15"/>
              </w:rPr>
              <w:t>Retain</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Medical and Pharmaceutical Warehousing Deep Research</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Research output available</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Phase 2</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Create formal DOCX/PDF</w:t>
            </w:r>
          </w:p>
        </w:tc>
      </w:tr>
      <w:tr>
        <w:trPr>
          <w:cantSplit/>
          <w:cantSplit/>
        </w:trPr>
        <w:tc>
          <w:tcPr>
            <w:tcW w:type="dxa" w:w="3400"/>
            <w:shd w:fill="FFFFFF"/>
            <w:vAlign w:val="top"/>
            <w:tcMar>
              <w:top w:w="90" w:type="dxa"/>
              <w:start w:w="120" w:type="dxa"/>
              <w:bottom w:w="90" w:type="dxa"/>
              <w:end w:w="120" w:type="dxa"/>
            </w:tcMar>
          </w:tcPr>
          <w:p>
            <w:pPr>
              <w:spacing w:after="0"/>
            </w:pPr>
            <w:r>
              <w:rPr>
                <w:rFonts w:ascii="Arial" w:hAnsi="Arial"/>
                <w:b/>
                <w:i w:val="0"/>
                <w:color w:val="111111"/>
                <w:sz w:val="15"/>
              </w:rPr>
              <w:t>Multi-format Warehousing Master Report</w:t>
            </w:r>
          </w:p>
        </w:tc>
        <w:tc>
          <w:tcPr>
            <w:tcW w:type="dxa" w:w="2200"/>
            <w:shd w:fill="FFFFFF"/>
            <w:vAlign w:val="top"/>
            <w:tcMar>
              <w:top w:w="90" w:type="dxa"/>
              <w:start w:w="120" w:type="dxa"/>
              <w:bottom w:w="90" w:type="dxa"/>
              <w:end w:w="120" w:type="dxa"/>
            </w:tcMar>
          </w:tcPr>
          <w:p>
            <w:pPr>
              <w:spacing w:after="0"/>
            </w:pPr>
            <w:r>
              <w:rPr>
                <w:rFonts w:ascii="Arial" w:hAnsi="Arial"/>
                <w:b w:val="0"/>
                <w:i w:val="0"/>
                <w:color w:val="111111"/>
                <w:sz w:val="15"/>
              </w:rPr>
              <w:t>Pending</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5"/>
              </w:rPr>
              <w:t>Phase 2</w:t>
            </w:r>
          </w:p>
        </w:tc>
        <w:tc>
          <w:tcPr>
            <w:tcW w:type="dxa" w:w="2340"/>
            <w:shd w:fill="FFFFFF"/>
            <w:vAlign w:val="top"/>
            <w:tcMar>
              <w:top w:w="90" w:type="dxa"/>
              <w:start w:w="120" w:type="dxa"/>
              <w:bottom w:w="90" w:type="dxa"/>
              <w:end w:w="120" w:type="dxa"/>
            </w:tcMar>
          </w:tcPr>
          <w:p>
            <w:pPr>
              <w:spacing w:after="0"/>
            </w:pPr>
            <w:r>
              <w:rPr>
                <w:rFonts w:ascii="Arial" w:hAnsi="Arial"/>
                <w:b w:val="0"/>
                <w:i w:val="0"/>
                <w:color w:val="111111"/>
                <w:sz w:val="15"/>
              </w:rPr>
              <w:t>Create</w:t>
            </w:r>
          </w:p>
        </w:tc>
      </w:tr>
    </w:tbl>
    <w:p>
      <w:pPr>
        <w:spacing w:after="40"/>
      </w:pPr>
    </w:p>
    <w:p>
      <w:pPr>
        <w:keepNext w:val="0"/>
        <w:spacing w:after="120"/>
      </w:pPr>
      <w:r>
        <w:rPr>
          <w:rFonts w:ascii="Arial" w:hAnsi="Arial"/>
          <w:b w:val="0"/>
          <w:i w:val="0"/>
          <w:color w:val="555555"/>
          <w:sz w:val="17"/>
        </w:rPr>
        <w:t>Commercial evidence such as live quotations, LOIs, site models, licences and legal confirmations must be dated and tied to the actual transaction or operating entity.</w:t>
      </w:r>
    </w:p>
    <w:p>
      <w:pPr>
        <w:pStyle w:val="Heading1"/>
      </w:pPr>
      <w:r>
        <w:t>Conflicting or updated information</w:t>
      </w:r>
    </w:p>
    <w:tbl>
      <w:tblPr>
        <w:tblStyle w:val="TableGrid"/>
        <w:tblW w:type="dxa" w:w="9640"/>
        <w:tblLayout w:type="fixed"/>
        <w:tblLook w:firstColumn="1" w:firstRow="1" w:lastColumn="0" w:lastRow="0" w:noHBand="0" w:noVBand="1" w:val="04A0"/>
        <w:jc w:val="left"/>
        <w:tblInd w:w="0" w:type="dxa"/>
      </w:tblPr>
      <w:tblGrid>
        <w:gridCol w:w="1700"/>
        <w:gridCol w:w="2600"/>
        <w:gridCol w:w="2500"/>
        <w:gridCol w:w="2840"/>
      </w:tblGrid>
      <w:tr>
        <w:trPr>
          <w:cantSplit/>
          <w:tblHeader w:val="true"/>
          <w:cantSplit/>
        </w:trPr>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4"/>
              </w:rPr>
              <w:t>TOPIC</w:t>
            </w:r>
          </w:p>
        </w:tc>
        <w:tc>
          <w:tcPr>
            <w:tcW w:type="dxa" w:w="2600"/>
            <w:tcMar>
              <w:top w:w="90" w:type="dxa"/>
              <w:start w:w="120" w:type="dxa"/>
              <w:bottom w:w="90" w:type="dxa"/>
              <w:end w:w="120" w:type="dxa"/>
            </w:tcMar>
            <w:shd w:fill="111111"/>
            <w:vAlign w:val="center"/>
          </w:tcPr>
          <w:p>
            <w:pPr>
              <w:spacing w:after="0"/>
            </w:pPr>
            <w:r>
              <w:rPr>
                <w:rFonts w:ascii="Arial" w:hAnsi="Arial"/>
                <w:b/>
                <w:i w:val="0"/>
                <w:color w:val="FFFFFF"/>
                <w:sz w:val="14"/>
              </w:rPr>
              <w:t>EARLIER FIGURE OR STATEMENT</w:t>
            </w:r>
          </w:p>
        </w:tc>
        <w:tc>
          <w:tcPr>
            <w:tcW w:type="dxa" w:w="2500"/>
            <w:tcMar>
              <w:top w:w="90" w:type="dxa"/>
              <w:start w:w="120" w:type="dxa"/>
              <w:bottom w:w="90" w:type="dxa"/>
              <w:end w:w="120" w:type="dxa"/>
            </w:tcMar>
            <w:shd w:fill="111111"/>
            <w:vAlign w:val="center"/>
          </w:tcPr>
          <w:p>
            <w:pPr>
              <w:spacing w:after="0"/>
            </w:pPr>
            <w:r>
              <w:rPr>
                <w:rFonts w:ascii="Arial" w:hAnsi="Arial"/>
                <w:b/>
                <w:i w:val="0"/>
                <w:color w:val="FFFFFF"/>
                <w:sz w:val="14"/>
              </w:rPr>
              <w:t>CONTROLLING POSITION</w:t>
            </w:r>
          </w:p>
        </w:tc>
        <w:tc>
          <w:tcPr>
            <w:tcW w:type="dxa" w:w="2840"/>
            <w:tcMar>
              <w:top w:w="90" w:type="dxa"/>
              <w:start w:w="120" w:type="dxa"/>
              <w:bottom w:w="90" w:type="dxa"/>
              <w:end w:w="120" w:type="dxa"/>
            </w:tcMar>
            <w:shd w:fill="111111"/>
            <w:vAlign w:val="center"/>
          </w:tcPr>
          <w:p>
            <w:pPr>
              <w:spacing w:after="0"/>
            </w:pPr>
            <w:r>
              <w:rPr>
                <w:rFonts w:ascii="Arial" w:hAnsi="Arial"/>
                <w:b/>
                <w:i w:val="0"/>
                <w:color w:val="FFFFFF"/>
                <w:sz w:val="14"/>
              </w:rPr>
              <w:t>RESOLUTION</w:t>
            </w:r>
          </w:p>
        </w:tc>
      </w:tr>
      <w:tr>
        <w:trPr>
          <w:cantSplit/>
          <w:cantSplit/>
        </w:trPr>
        <w:tc>
          <w:tcPr>
            <w:tcW w:type="dxa" w:w="1700"/>
            <w:shd w:fill="F3F3F3"/>
            <w:vAlign w:val="top"/>
            <w:tcMar>
              <w:top w:w="90" w:type="dxa"/>
              <w:start w:w="120" w:type="dxa"/>
              <w:bottom w:w="90" w:type="dxa"/>
              <w:end w:w="120" w:type="dxa"/>
            </w:tcMar>
          </w:tcPr>
          <w:p>
            <w:pPr>
              <w:spacing w:after="0"/>
            </w:pPr>
            <w:r>
              <w:rPr>
                <w:rFonts w:ascii="Arial" w:hAnsi="Arial"/>
                <w:b/>
                <w:i w:val="0"/>
                <w:color w:val="111111"/>
                <w:sz w:val="14"/>
              </w:rPr>
              <w:t>Platform economics</w:t>
            </w:r>
          </w:p>
        </w:tc>
        <w:tc>
          <w:tcPr>
            <w:tcW w:type="dxa" w:w="2600"/>
            <w:shd w:fill="F3F3F3"/>
            <w:vAlign w:val="top"/>
            <w:tcMar>
              <w:top w:w="90" w:type="dxa"/>
              <w:start w:w="120" w:type="dxa"/>
              <w:bottom w:w="90" w:type="dxa"/>
              <w:end w:w="120" w:type="dxa"/>
            </w:tcMar>
          </w:tcPr>
          <w:p>
            <w:pPr>
              <w:spacing w:after="0"/>
            </w:pPr>
            <w:r>
              <w:rPr>
                <w:rFonts w:ascii="Arial" w:hAnsi="Arial"/>
                <w:b w:val="0"/>
                <w:i w:val="0"/>
                <w:color w:val="111111"/>
                <w:sz w:val="14"/>
              </w:rPr>
              <w:t>AED46-73M capital and 12-15% IRR presented as platform-wide</w:t>
            </w:r>
          </w:p>
        </w:tc>
        <w:tc>
          <w:tcPr>
            <w:tcW w:type="dxa" w:w="2500"/>
            <w:shd w:fill="F3F3F3"/>
            <w:vAlign w:val="top"/>
            <w:tcMar>
              <w:top w:w="90" w:type="dxa"/>
              <w:start w:w="120" w:type="dxa"/>
              <w:bottom w:w="90" w:type="dxa"/>
              <w:end w:w="120" w:type="dxa"/>
            </w:tcMar>
          </w:tcPr>
          <w:p>
            <w:pPr>
              <w:spacing w:after="0"/>
            </w:pPr>
            <w:r>
              <w:rPr>
                <w:rFonts w:ascii="Arial" w:hAnsi="Arial"/>
                <w:b w:val="0"/>
                <w:i w:val="0"/>
                <w:color w:val="111111"/>
                <w:sz w:val="14"/>
              </w:rPr>
              <w:t>Industrial warehouse IC case only</w:t>
            </w:r>
          </w:p>
        </w:tc>
        <w:tc>
          <w:tcPr>
            <w:tcW w:type="dxa" w:w="2840"/>
            <w:shd w:fill="F3F3F3"/>
            <w:vAlign w:val="top"/>
            <w:tcMar>
              <w:top w:w="90" w:type="dxa"/>
              <w:start w:w="120" w:type="dxa"/>
              <w:bottom w:w="90" w:type="dxa"/>
              <w:end w:w="120" w:type="dxa"/>
            </w:tcMar>
          </w:tcPr>
          <w:p>
            <w:pPr>
              <w:spacing w:after="0"/>
            </w:pPr>
            <w:r>
              <w:rPr>
                <w:rFonts w:ascii="Arial" w:hAnsi="Arial"/>
                <w:b w:val="0"/>
                <w:i w:val="0"/>
                <w:color w:val="111111"/>
                <w:sz w:val="14"/>
              </w:rPr>
              <w:t>Restrict figures to industrial warehouse; underwrite cold and medical separately.</w:t>
            </w:r>
          </w:p>
        </w:tc>
      </w:tr>
      <w:tr>
        <w:trPr>
          <w:cantSplit/>
          <w:cantSplit/>
        </w:trPr>
        <w:tc>
          <w:tcPr>
            <w:tcW w:type="dxa" w:w="1700"/>
            <w:shd w:fill="FFFFFF"/>
            <w:vAlign w:val="top"/>
            <w:tcMar>
              <w:top w:w="90" w:type="dxa"/>
              <w:start w:w="120" w:type="dxa"/>
              <w:bottom w:w="90" w:type="dxa"/>
              <w:end w:w="120" w:type="dxa"/>
            </w:tcMar>
          </w:tcPr>
          <w:p>
            <w:pPr>
              <w:spacing w:after="0"/>
            </w:pPr>
            <w:r>
              <w:rPr>
                <w:rFonts w:ascii="Arial" w:hAnsi="Arial"/>
                <w:b/>
                <w:i w:val="0"/>
                <w:color w:val="111111"/>
                <w:sz w:val="14"/>
              </w:rPr>
              <w:t>Cold-storage NOI</w:t>
            </w:r>
          </w:p>
        </w:tc>
        <w:tc>
          <w:tcPr>
            <w:tcW w:type="dxa" w:w="2600"/>
            <w:shd w:fill="FFFFFF"/>
            <w:vAlign w:val="top"/>
            <w:tcMar>
              <w:top w:w="90" w:type="dxa"/>
              <w:start w:w="120" w:type="dxa"/>
              <w:bottom w:w="90" w:type="dxa"/>
              <w:end w:w="120" w:type="dxa"/>
            </w:tcMar>
          </w:tcPr>
          <w:p>
            <w:pPr>
              <w:spacing w:after="0"/>
            </w:pPr>
            <w:r>
              <w:rPr>
                <w:rFonts w:ascii="Arial" w:hAnsi="Arial"/>
                <w:b w:val="0"/>
                <w:i w:val="0"/>
                <w:color w:val="111111"/>
                <w:sz w:val="14"/>
              </w:rPr>
              <w:t>AED6.4M described as NOI</w:t>
            </w:r>
          </w:p>
        </w:tc>
        <w:tc>
          <w:tcPr>
            <w:tcW w:type="dxa" w:w="2500"/>
            <w:shd w:fill="FFFFFF"/>
            <w:vAlign w:val="top"/>
            <w:tcMar>
              <w:top w:w="90" w:type="dxa"/>
              <w:start w:w="120" w:type="dxa"/>
              <w:bottom w:w="90" w:type="dxa"/>
              <w:end w:w="120" w:type="dxa"/>
            </w:tcMar>
          </w:tcPr>
          <w:p>
            <w:pPr>
              <w:spacing w:after="0"/>
            </w:pPr>
            <w:r>
              <w:rPr>
                <w:rFonts w:ascii="Arial" w:hAnsi="Arial"/>
                <w:b w:val="0"/>
                <w:i w:val="0"/>
                <w:color w:val="111111"/>
                <w:sz w:val="14"/>
              </w:rPr>
              <w:t>AED6.375M occupied gross rent before OPEX</w:t>
            </w:r>
          </w:p>
        </w:tc>
        <w:tc>
          <w:tcPr>
            <w:tcW w:type="dxa" w:w="2840"/>
            <w:shd w:fill="FFFFFF"/>
            <w:vAlign w:val="top"/>
            <w:tcMar>
              <w:top w:w="90" w:type="dxa"/>
              <w:start w:w="120" w:type="dxa"/>
              <w:bottom w:w="90" w:type="dxa"/>
              <w:end w:w="120" w:type="dxa"/>
            </w:tcMar>
          </w:tcPr>
          <w:p>
            <w:pPr>
              <w:spacing w:after="0"/>
            </w:pPr>
            <w:r>
              <w:rPr>
                <w:rFonts w:ascii="Arial" w:hAnsi="Arial"/>
                <w:b w:val="0"/>
                <w:i w:val="0"/>
                <w:color w:val="111111"/>
                <w:sz w:val="14"/>
              </w:rPr>
              <w:t>Do not call the value NOI or use it to calculate return.</w:t>
            </w:r>
          </w:p>
        </w:tc>
      </w:tr>
      <w:tr>
        <w:trPr>
          <w:cantSplit/>
          <w:cantSplit/>
        </w:trPr>
        <w:tc>
          <w:tcPr>
            <w:tcW w:type="dxa" w:w="1700"/>
            <w:shd w:fill="F3F3F3"/>
            <w:vAlign w:val="top"/>
            <w:tcMar>
              <w:top w:w="90" w:type="dxa"/>
              <w:start w:w="120" w:type="dxa"/>
              <w:bottom w:w="90" w:type="dxa"/>
              <w:end w:w="120" w:type="dxa"/>
            </w:tcMar>
          </w:tcPr>
          <w:p>
            <w:pPr>
              <w:spacing w:after="0"/>
            </w:pPr>
            <w:r>
              <w:rPr>
                <w:rFonts w:ascii="Arial" w:hAnsi="Arial"/>
                <w:b/>
                <w:i w:val="0"/>
                <w:color w:val="111111"/>
                <w:sz w:val="14"/>
              </w:rPr>
              <w:t>Medical market size</w:t>
            </w:r>
          </w:p>
        </w:tc>
        <w:tc>
          <w:tcPr>
            <w:tcW w:type="dxa" w:w="2600"/>
            <w:shd w:fill="F3F3F3"/>
            <w:vAlign w:val="top"/>
            <w:tcMar>
              <w:top w:w="90" w:type="dxa"/>
              <w:start w:w="120" w:type="dxa"/>
              <w:bottom w:w="90" w:type="dxa"/>
              <w:end w:w="120" w:type="dxa"/>
            </w:tcMar>
          </w:tcPr>
          <w:p>
            <w:pPr>
              <w:spacing w:after="0"/>
            </w:pPr>
            <w:r>
              <w:rPr>
                <w:rFonts w:ascii="Arial" w:hAnsi="Arial"/>
                <w:b w:val="0"/>
                <w:i w:val="0"/>
                <w:color w:val="111111"/>
                <w:sz w:val="14"/>
              </w:rPr>
              <w:t>Broad healthcare 3PL market treated as warehouse TAM</w:t>
            </w:r>
          </w:p>
        </w:tc>
        <w:tc>
          <w:tcPr>
            <w:tcW w:type="dxa" w:w="2500"/>
            <w:shd w:fill="F3F3F3"/>
            <w:vAlign w:val="top"/>
            <w:tcMar>
              <w:top w:w="90" w:type="dxa"/>
              <w:start w:w="120" w:type="dxa"/>
              <w:bottom w:w="90" w:type="dxa"/>
              <w:end w:w="120" w:type="dxa"/>
            </w:tcMar>
          </w:tcPr>
          <w:p>
            <w:pPr>
              <w:spacing w:after="0"/>
            </w:pPr>
            <w:r>
              <w:rPr>
                <w:rFonts w:ascii="Arial" w:hAnsi="Arial"/>
                <w:b w:val="0"/>
                <w:i w:val="0"/>
                <w:color w:val="111111"/>
                <w:sz w:val="14"/>
              </w:rPr>
              <w:t>AED6.99B broad 3PL ceiling; dedicated storage TAM/SAM/SOM not verified</w:t>
            </w:r>
          </w:p>
        </w:tc>
        <w:tc>
          <w:tcPr>
            <w:tcW w:type="dxa" w:w="2840"/>
            <w:shd w:fill="F3F3F3"/>
            <w:vAlign w:val="top"/>
            <w:tcMar>
              <w:top w:w="90" w:type="dxa"/>
              <w:start w:w="120" w:type="dxa"/>
              <w:bottom w:w="90" w:type="dxa"/>
              <w:end w:w="120" w:type="dxa"/>
            </w:tcMar>
          </w:tcPr>
          <w:p>
            <w:pPr>
              <w:spacing w:after="0"/>
            </w:pPr>
            <w:r>
              <w:rPr>
                <w:rFonts w:ascii="Arial" w:hAnsi="Arial"/>
                <w:b w:val="0"/>
                <w:i w:val="0"/>
                <w:color w:val="111111"/>
                <w:sz w:val="14"/>
              </w:rPr>
              <w:t>Retain broad context with explicit limitation.</w:t>
            </w:r>
          </w:p>
        </w:tc>
      </w:tr>
    </w:tbl>
    <w:p>
      <w:pPr>
        <w:spacing w:after="40"/>
      </w:pPr>
    </w:p>
    <w:p>
      <w:r>
        <w:br w:type="page"/>
      </w:r>
    </w:p>
    <w:p>
      <w:pPr>
        <w:pStyle w:val="Heading1"/>
      </w:pPr>
      <w:r>
        <w:t>Material claim register</w:t>
      </w:r>
    </w:p>
    <w:tbl>
      <w:tblPr>
        <w:tblStyle w:val="TableGrid"/>
        <w:tblW w:type="dxa" w:w="9640"/>
        <w:tblLayout w:type="fixed"/>
        <w:tblLook w:firstColumn="1" w:firstRow="1" w:lastColumn="0" w:lastRow="0" w:noHBand="0" w:noVBand="1" w:val="04A0"/>
        <w:jc w:val="left"/>
        <w:tblInd w:w="0" w:type="dxa"/>
      </w:tblPr>
      <w:tblGrid>
        <w:gridCol w:w="1100"/>
        <w:gridCol w:w="1900"/>
        <w:gridCol w:w="1500"/>
        <w:gridCol w:w="1300"/>
        <w:gridCol w:w="2100"/>
        <w:gridCol w:w="1740"/>
      </w:tblGrid>
      <w:tr>
        <w:trPr>
          <w:cantSplit/>
          <w:tblHeader w:val="true"/>
          <w:cantSplit/>
        </w:trPr>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CLAIM</w:t>
            </w:r>
          </w:p>
        </w:tc>
        <w:tc>
          <w:tcPr>
            <w:tcW w:type="dxa" w:w="19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50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1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740"/>
            <w:tcMar>
              <w:top w:w="90" w:type="dxa"/>
              <w:start w:w="120" w:type="dxa"/>
              <w:bottom w:w="90" w:type="dxa"/>
              <w:end w:w="120" w:type="dxa"/>
            </w:tcMar>
            <w:shd w:fill="111111"/>
            <w:vAlign w:val="center"/>
          </w:tcPr>
          <w:p>
            <w:pPr>
              <w:spacing w:after="0"/>
            </w:pPr>
            <w:r>
              <w:rPr>
                <w:rFonts w:ascii="Arial" w:hAnsi="Arial"/>
                <w:b/>
                <w:i w:val="0"/>
                <w:color w:val="FFFFFF"/>
                <w:sz w:val="14"/>
              </w:rPr>
              <w:t>SOURCE / LIMITATION</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V01-C01</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Storage formats</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4 formats</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plan</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S01/S02/S03. Do not apply one financial model across all formats.</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V01-C02</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Optimal total capital</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46-73M AED</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 planning case</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S01. Not a platform-wide or medical-warehouse capital range.</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V01-C03</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Stabilised rent</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4.5-7.5M AED/year</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planning case</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S01. Requires a specific tenant and asset schedule.</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V01-C04</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Five-year equity IRR</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12-15% %</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Five-year hold</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S01. Not verified return and not applicable to cold or medical formats.</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V01-C05</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Five-year equity multiple</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1.8-2.1x x</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Five-year hold</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S01. Transaction underwriting required.</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V01-C06</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UAE cold-chain market</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USD 1.83B USD</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INDUSTRY ESTIMATE</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S02. Market definition may include services beyond warehouse rent.</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V01-C07</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Stabilised yield-on-cost hurdle</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6-8% %</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recommendation</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S02. Investment hurdle, not observed market yield.</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V01-C08</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Broad healthcare 3PL ceiling</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6.99B AED</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2025</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INDUSTRY ESTIMATE</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S03. Not pharmaceutical-storage TAM; includes wider logistics services.</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V01-C09</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Healthcare 3PL CAGR</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8.0% % CAGR</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2026-2033</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INDUSTRY ESTIMATE</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S03. Broad 3PL forecast.</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V01-C10</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Healthcare facilities</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5700 facilities, more than</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 report; spend 2024</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GOVERNMENT / PRIMARY-SOURCE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S03. Official WAM review.</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V01-C11</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Annual healthcare spending</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100B AED/year</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2024</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GOVERNMENT / PRIMARY-SOURCE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S03. Demand context, not warehouse revenue.</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V01-C12</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Medical-warehouse inspections</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568 inspections, more than</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Since start of 2026; reported March 2026</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GOVERNMENT / PRIMARY-SOURCE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S03. Demonstrates active regulatory supervision.</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V01-C13</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Direct EDE fees - standard warehouse</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9600 AED</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Current Aug 2026</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GOVERNMENT / PRIMARY-SOURCE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S03. Excludes all other licensing, staffing, fit-out and compliance costs.</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V01-C14</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Direct EDE fees - re-export warehouse</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12100 AED</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Current Aug 2026</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GOVERNMENT / PRIMARY-SOURCE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S03. Excludes other project costs.</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V01-C15</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Phase-one temperature bands</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15-25C plus expandable 2-8C degrees Celsius</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recommendation</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S03. Recommendation, not regulatory requirement.</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V01-C16</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Dedicated storage TAM/SAM/SOM</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Not publicly verified n/a</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 research</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NOT PUBLICLY VERIFIED</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S03. Must be built from customer pallet/m3 requirements and tariffs.</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V01-C17</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Project CAPEX and IRR</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Requires quotes and contracts n/a</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research</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REQUIRES SUPPLIER QUOTE</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S03. Core data-lock exclusion.</w:t>
            </w:r>
          </w:p>
        </w:tc>
      </w:tr>
    </w:tbl>
    <w:p>
      <w:pPr>
        <w:spacing w:after="40"/>
      </w:pPr>
    </w:p>
    <w:p>
      <w:pPr>
        <w:pStyle w:val="Heading1"/>
      </w:pPr>
      <w:r>
        <w:t>Source register</w:t>
      </w:r>
    </w:p>
    <w:p>
      <w:pPr>
        <w:spacing w:after="40"/>
      </w:pPr>
      <w:r>
        <w:rPr>
          <w:rFonts w:ascii="Arial" w:hAnsi="Arial"/>
          <w:b/>
          <w:i w:val="0"/>
          <w:color w:val="111111"/>
          <w:sz w:val="18"/>
        </w:rPr>
        <w:t>[S01] Industrial Warehouses Deep Research</w:t>
      </w:r>
    </w:p>
    <w:p>
      <w:pPr>
        <w:spacing w:after="80"/>
      </w:pPr>
      <w:r>
        <w:rPr>
          <w:rFonts w:ascii="Arial" w:hAnsi="Arial"/>
          <w:b/>
          <w:i w:val="0"/>
          <w:color w:val="555555"/>
          <w:sz w:val="19"/>
        </w:rPr>
        <w:t xml:space="preserve">Organisation / type: </w:t>
      </w:r>
      <w:r>
        <w:rPr>
          <w:rFonts w:ascii="Arial" w:hAnsi="Arial"/>
          <w:b w:val="0"/>
          <w:i w:val="0"/>
          <w:color w:val="111111"/>
          <w:sz w:val="19"/>
        </w:rPr>
        <w:t>Consolidated research</w:t>
      </w:r>
    </w:p>
    <w:p>
      <w:pPr>
        <w:spacing w:after="80"/>
      </w:pPr>
      <w:r>
        <w:rPr>
          <w:rFonts w:ascii="Arial" w:hAnsi="Arial"/>
          <w:b/>
          <w:i w:val="0"/>
          <w:color w:val="555555"/>
          <w:sz w:val="19"/>
        </w:rPr>
        <w:t xml:space="preserve">Date: </w:t>
      </w:r>
      <w:r>
        <w:rPr>
          <w:rFonts w:ascii="Arial" w:hAnsi="Arial"/>
          <w:b w:val="0"/>
          <w:i w:val="0"/>
          <w:color w:val="111111"/>
          <w:sz w:val="19"/>
        </w:rPr>
        <w:t>2026-08-24</w:t>
      </w:r>
    </w:p>
    <w:p>
      <w:pPr>
        <w:spacing w:after="80"/>
      </w:pPr>
      <w:r>
        <w:rPr>
          <w:rFonts w:ascii="Arial" w:hAnsi="Arial"/>
          <w:b/>
          <w:i w:val="0"/>
          <w:color w:val="555555"/>
          <w:sz w:val="19"/>
        </w:rPr>
        <w:t xml:space="preserve">File: </w:t>
      </w:r>
      <w:r>
        <w:rPr>
          <w:rFonts w:ascii="Arial" w:hAnsi="Arial"/>
          <w:b w:val="0"/>
          <w:i w:val="0"/>
          <w:color w:val="111111"/>
          <w:sz w:val="19"/>
        </w:rPr>
        <w:t>Industrial-Warehouses-Deep-Research.pdf</w:t>
      </w:r>
    </w:p>
    <w:p>
      <w:pPr>
        <w:spacing w:after="80"/>
      </w:pPr>
      <w:r>
        <w:rPr>
          <w:rFonts w:ascii="Arial" w:hAnsi="Arial"/>
          <w:b/>
          <w:i w:val="0"/>
          <w:color w:val="555555"/>
          <w:sz w:val="19"/>
        </w:rPr>
        <w:t xml:space="preserve">Supports: </w:t>
      </w:r>
      <w:r>
        <w:rPr>
          <w:rFonts w:ascii="Arial" w:hAnsi="Arial"/>
          <w:b w:val="0"/>
          <w:i w:val="0"/>
          <w:color w:val="111111"/>
          <w:sz w:val="19"/>
        </w:rPr>
        <w:t>Industrial warehouse capital, rent and return screening ranges.</w:t>
      </w:r>
    </w:p>
    <w:p>
      <w:pPr>
        <w:keepNext w:val="0"/>
        <w:spacing w:after="160"/>
      </w:pPr>
      <w:r>
        <w:rPr>
          <w:rFonts w:ascii="Arial" w:hAnsi="Arial"/>
          <w:b w:val="0"/>
          <w:i/>
          <w:color w:val="888888"/>
          <w:sz w:val="17"/>
        </w:rPr>
        <w:t>Original external URL is not recorded in the controlling register.</w:t>
      </w:r>
    </w:p>
    <w:p>
      <w:pPr>
        <w:spacing w:after="40"/>
      </w:pPr>
      <w:r>
        <w:rPr>
          <w:rFonts w:ascii="Arial" w:hAnsi="Arial"/>
          <w:b/>
          <w:i w:val="0"/>
          <w:color w:val="111111"/>
          <w:sz w:val="18"/>
        </w:rPr>
        <w:t>[S02] Cold Storage Deep Research</w:t>
      </w:r>
    </w:p>
    <w:p>
      <w:pPr>
        <w:spacing w:after="80"/>
      </w:pPr>
      <w:r>
        <w:rPr>
          <w:rFonts w:ascii="Arial" w:hAnsi="Arial"/>
          <w:b/>
          <w:i w:val="0"/>
          <w:color w:val="555555"/>
          <w:sz w:val="19"/>
        </w:rPr>
        <w:t xml:space="preserve">Organisation / type: </w:t>
      </w:r>
      <w:r>
        <w:rPr>
          <w:rFonts w:ascii="Arial" w:hAnsi="Arial"/>
          <w:b w:val="0"/>
          <w:i w:val="0"/>
          <w:color w:val="111111"/>
          <w:sz w:val="19"/>
        </w:rPr>
        <w:t>Consolidated research</w:t>
      </w:r>
    </w:p>
    <w:p>
      <w:pPr>
        <w:spacing w:after="80"/>
      </w:pPr>
      <w:r>
        <w:rPr>
          <w:rFonts w:ascii="Arial" w:hAnsi="Arial"/>
          <w:b/>
          <w:i w:val="0"/>
          <w:color w:val="555555"/>
          <w:sz w:val="19"/>
        </w:rPr>
        <w:t xml:space="preserve">Date: </w:t>
      </w:r>
      <w:r>
        <w:rPr>
          <w:rFonts w:ascii="Arial" w:hAnsi="Arial"/>
          <w:b w:val="0"/>
          <w:i w:val="0"/>
          <w:color w:val="111111"/>
          <w:sz w:val="19"/>
        </w:rPr>
        <w:t>2026-08-24</w:t>
      </w:r>
    </w:p>
    <w:p>
      <w:pPr>
        <w:spacing w:after="80"/>
      </w:pPr>
      <w:r>
        <w:rPr>
          <w:rFonts w:ascii="Arial" w:hAnsi="Arial"/>
          <w:b/>
          <w:i w:val="0"/>
          <w:color w:val="555555"/>
          <w:sz w:val="19"/>
        </w:rPr>
        <w:t xml:space="preserve">File: </w:t>
      </w:r>
      <w:r>
        <w:rPr>
          <w:rFonts w:ascii="Arial" w:hAnsi="Arial"/>
          <w:b w:val="0"/>
          <w:i w:val="0"/>
          <w:color w:val="111111"/>
          <w:sz w:val="19"/>
        </w:rPr>
        <w:t>Cold-Storage-Deep-Research.pdf</w:t>
      </w:r>
    </w:p>
    <w:p>
      <w:pPr>
        <w:spacing w:after="80"/>
      </w:pPr>
      <w:r>
        <w:rPr>
          <w:rFonts w:ascii="Arial" w:hAnsi="Arial"/>
          <w:b/>
          <w:i w:val="0"/>
          <w:color w:val="555555"/>
          <w:sz w:val="19"/>
        </w:rPr>
        <w:t xml:space="preserve">Supports: </w:t>
      </w:r>
      <w:r>
        <w:rPr>
          <w:rFonts w:ascii="Arial" w:hAnsi="Arial"/>
          <w:b w:val="0"/>
          <w:i w:val="0"/>
          <w:color w:val="111111"/>
          <w:sz w:val="19"/>
        </w:rPr>
        <w:t>Cold-chain market estimate, format strategy, yield hurdle and data conflicts.</w:t>
      </w:r>
    </w:p>
    <w:p>
      <w:pPr>
        <w:keepNext w:val="0"/>
        <w:spacing w:after="160"/>
      </w:pPr>
      <w:r>
        <w:rPr>
          <w:rFonts w:ascii="Arial" w:hAnsi="Arial"/>
          <w:b w:val="0"/>
          <w:i/>
          <w:color w:val="888888"/>
          <w:sz w:val="17"/>
        </w:rPr>
        <w:t>Original external URL is not recorded in the controlling register.</w:t>
      </w:r>
    </w:p>
    <w:p>
      <w:pPr>
        <w:spacing w:after="40"/>
      </w:pPr>
      <w:r>
        <w:rPr>
          <w:rFonts w:ascii="Arial" w:hAnsi="Arial"/>
          <w:b/>
          <w:i w:val="0"/>
          <w:color w:val="111111"/>
          <w:sz w:val="18"/>
        </w:rPr>
        <w:t>[S03] UAE Medical and Pharmaceutical Warehousing Investment Case</w:t>
      </w:r>
    </w:p>
    <w:p>
      <w:pPr>
        <w:spacing w:after="80"/>
      </w:pPr>
      <w:r>
        <w:rPr>
          <w:rFonts w:ascii="Arial" w:hAnsi="Arial"/>
          <w:b/>
          <w:i w:val="0"/>
          <w:color w:val="555555"/>
          <w:sz w:val="19"/>
        </w:rPr>
        <w:t xml:space="preserve">Organisation / type: </w:t>
      </w:r>
      <w:r>
        <w:rPr>
          <w:rFonts w:ascii="Arial" w:hAnsi="Arial"/>
          <w:b w:val="0"/>
          <w:i w:val="0"/>
          <w:color w:val="111111"/>
          <w:sz w:val="19"/>
        </w:rPr>
        <w:t>Completed Deep Research</w:t>
      </w:r>
    </w:p>
    <w:p>
      <w:pPr>
        <w:spacing w:after="80"/>
      </w:pPr>
      <w:r>
        <w:rPr>
          <w:rFonts w:ascii="Arial" w:hAnsi="Arial"/>
          <w:b/>
          <w:i w:val="0"/>
          <w:color w:val="555555"/>
          <w:sz w:val="19"/>
        </w:rPr>
        <w:t xml:space="preserve">Date: </w:t>
      </w:r>
      <w:r>
        <w:rPr>
          <w:rFonts w:ascii="Arial" w:hAnsi="Arial"/>
          <w:b w:val="0"/>
          <w:i w:val="0"/>
          <w:color w:val="111111"/>
          <w:sz w:val="19"/>
        </w:rPr>
        <w:t>2026-08-31</w:t>
      </w:r>
    </w:p>
    <w:p>
      <w:pPr>
        <w:spacing w:after="80"/>
      </w:pPr>
      <w:r>
        <w:rPr>
          <w:rFonts w:ascii="Arial" w:hAnsi="Arial"/>
          <w:b/>
          <w:i w:val="0"/>
          <w:color w:val="555555"/>
          <w:sz w:val="19"/>
        </w:rPr>
        <w:t xml:space="preserve">File: </w:t>
      </w:r>
      <w:r>
        <w:rPr>
          <w:rFonts w:ascii="Arial" w:hAnsi="Arial"/>
          <w:b w:val="0"/>
          <w:i w:val="0"/>
          <w:color w:val="111111"/>
          <w:sz w:val="19"/>
        </w:rPr>
        <w:t>Pasted markdown(8).md</w:t>
      </w:r>
    </w:p>
    <w:p>
      <w:pPr>
        <w:spacing w:after="80"/>
      </w:pPr>
      <w:r>
        <w:rPr>
          <w:rFonts w:ascii="Arial" w:hAnsi="Arial"/>
          <w:b/>
          <w:i w:val="0"/>
          <w:color w:val="555555"/>
          <w:sz w:val="19"/>
        </w:rPr>
        <w:t xml:space="preserve">Supports: </w:t>
      </w:r>
      <w:r>
        <w:rPr>
          <w:rFonts w:ascii="Arial" w:hAnsi="Arial"/>
          <w:b w:val="0"/>
          <w:i w:val="0"/>
          <w:color w:val="111111"/>
          <w:sz w:val="19"/>
        </w:rPr>
        <w:t>Medical-warehouse regulation, market context, location ranking, operating model and exclusions.</w:t>
      </w:r>
    </w:p>
    <w:p>
      <w:pPr>
        <w:spacing w:after="160"/>
      </w:pPr>
      <w:hyperlink r:id="rId11">
        <w:r>
          <w:rPr>
            <w:color w:val="111111"/>
            <w:u w:val="single"/>
          </w:rPr>
          <w:t>https://www.ede.gov.ae/en/w/licensing-of-a-medical-warehouse</w:t>
        </w:r>
      </w:hyperlink>
    </w:p>
    <w:p>
      <w:pPr>
        <w:keepNext w:val="0"/>
        <w:spacing w:after="0"/>
        <w:jc w:val="center"/>
      </w:pPr>
      <w:r>
        <w:rPr>
          <w:rFonts w:ascii="Arial" w:hAnsi="Arial"/>
          <w:b/>
          <w:i w:val="0"/>
          <w:color w:val="888888"/>
          <w:sz w:val="16"/>
        </w:rPr>
        <w:t>END OF REPORT</w:t>
      </w:r>
    </w:p>
    <w:sectPr w:rsidR="00FC693F" w:rsidRPr="0006063C" w:rsidSect="00034616">
      <w:headerReference w:type="default" r:id="rId9"/>
      <w:footerReference w:type="default" r:id="rId10"/>
      <w:pgSz w:w="11906" w:h="16838"/>
      <w:pgMar w:top="1134" w:right="1134" w:bottom="1020" w:left="1134"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i w:val="0"/>
        <w:color w:val="888888"/>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4" w:color="D2D2D2"/>
      </w:pBdr>
    </w:pPr>
    <w:r>
      <w:drawing>
        <wp:inline xmlns:a="http://schemas.openxmlformats.org/drawingml/2006/main" xmlns:pic="http://schemas.openxmlformats.org/drawingml/2006/picture">
          <wp:extent cx="621792" cy="149001"/>
          <wp:docPr id="1" name="Picture 1"/>
          <wp:cNvGraphicFramePr>
            <a:graphicFrameLocks noChangeAspect="1"/>
          </wp:cNvGraphicFramePr>
          <a:graphic>
            <a:graphicData uri="http://schemas.openxmlformats.org/drawingml/2006/picture">
              <pic:pic>
                <pic:nvPicPr>
                  <pic:cNvPr id="0" name="imperial-alfa-mark.png"/>
                  <pic:cNvPicPr/>
                </pic:nvPicPr>
                <pic:blipFill>
                  <a:blip r:embed="rId1"/>
                  <a:stretch>
                    <a:fillRect/>
                  </a:stretch>
                </pic:blipFill>
                <pic:spPr>
                  <a:xfrm>
                    <a:off x="0" y="0"/>
                    <a:ext cx="621792" cy="149001"/>
                  </a:xfrm>
                  <a:prstGeom prst="rect"/>
                </pic:spPr>
              </pic:pic>
            </a:graphicData>
          </a:graphic>
        </wp:inline>
      </w:drawing>
    </w:r>
    <w:r>
      <w:rPr>
        <w:rFonts w:ascii="Arial" w:hAnsi="Arial"/>
        <w:b w:val="0"/>
        <w:i w:val="0"/>
        <w:color w:val="888888"/>
        <w:sz w:val="16"/>
      </w:rPr>
      <w:t xml:space="preserve">   NEW VENTURES   /   FULL RESEARCH   /   31 AUGUST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111111"/>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rial" w:hAnsi="Arial"/>
      <w:b/>
      <w:bCs/>
      <w:color w:val="111111"/>
      <w:sz w:val="36"/>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b/>
      <w:bCs/>
      <w:color w:val="111111"/>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5555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rial" w:hAnsi="Arial"/>
      <w:b/>
      <w:color w:val="111111"/>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rial" w:hAnsi="Arial"/>
      <w:b w:val="0"/>
      <w:i/>
      <w:iCs/>
      <w:color w:val="555555"/>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ind w:left="346"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59" w:lineRule="auto"/>
      <w:ind w:left="346" w:hanging="230"/>
      <w:contextualSpacing/>
    </w:pPr>
    <w:rPr>
      <w:rFonts w:ascii="Arial" w:hAnsi="Arial"/>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after="140"/>
    </w:pPr>
    <w:rPr>
      <w:rFonts w:ascii="Arial" w:hAnsi="Arial"/>
      <w:b/>
      <w:color w:val="88888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ede.gov.ae/en/w/licensing-of-a-medical-wareho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B2B Warehousing - Consolidated Deep Research</dc:title>
  <dc:subject>Consolidated Deep Research</dc:subject>
  <dc:creator>ALFA New Ventures</dc:creator>
  <cp:keywords>UAE, venture research, decision review, 2026</cp:keywords>
  <dc:description>Built from the controlling data register dated 31 August 2026.</dc:description>
  <cp:lastModifiedBy/>
  <cp:revision>1</cp:revision>
  <dcterms:created xsi:type="dcterms:W3CDTF">2013-12-23T23:15:00Z</dcterms:created>
  <dcterms:modified xsi:type="dcterms:W3CDTF">2013-12-23T23:15:00Z</dcterms:modified>
  <cp:category/>
</cp:coreProperties>
</file>