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after="800"/>
      </w:pPr>
      <w:r>
        <w:rPr>
          <w:rFonts w:ascii="Arial" w:hAnsi="Arial"/>
          <w:b/>
          <w:i w:val="0"/>
          <w:color w:val="888888"/>
          <w:sz w:val="16"/>
        </w:rPr>
        <w:t>V05  /  CONSOLIDATED DEEP RESEARCH</w:t>
      </w:r>
    </w:p>
    <w:p>
      <w:pPr>
        <w:spacing w:after="280"/>
      </w:pPr>
      <w:r>
        <w:drawing>
          <wp:inline xmlns:a="http://schemas.openxmlformats.org/drawingml/2006/main" xmlns:pic="http://schemas.openxmlformats.org/drawingml/2006/picture">
            <wp:extent cx="887704" cy="384048"/>
            <wp:docPr id="1" name="Picture 1"/>
            <wp:cNvGraphicFramePr>
              <a:graphicFrameLocks noChangeAspect="1"/>
            </wp:cNvGraphicFramePr>
            <a:graphic>
              <a:graphicData uri="http://schemas.openxmlformats.org/drawingml/2006/picture">
                <pic:pic>
                  <pic:nvPicPr>
                    <pic:cNvPr id="0" name="asphalt-alpha.png"/>
                    <pic:cNvPicPr/>
                  </pic:nvPicPr>
                  <pic:blipFill>
                    <a:blip r:embed="rId11"/>
                    <a:stretch>
                      <a:fillRect/>
                    </a:stretch>
                  </pic:blipFill>
                  <pic:spPr>
                    <a:xfrm>
                      <a:off x="0" y="0"/>
                      <a:ext cx="887704" cy="384048"/>
                    </a:xfrm>
                    <a:prstGeom prst="rect"/>
                  </pic:spPr>
                </pic:pic>
              </a:graphicData>
            </a:graphic>
          </wp:inline>
        </w:drawing>
      </w:r>
    </w:p>
    <w:p>
      <w:pPr>
        <w:pStyle w:val="Title"/>
        <w:spacing w:after="160"/>
      </w:pPr>
      <w:r>
        <w:t>Asphalt + Concrete</w:t>
      </w:r>
    </w:p>
    <w:p>
      <w:pPr>
        <w:keepNext w:val="0"/>
        <w:spacing w:after="360"/>
      </w:pPr>
      <w:r>
        <w:rPr>
          <w:rFonts w:ascii="Arial" w:hAnsi="Arial"/>
          <w:b/>
          <w:i w:val="0"/>
          <w:color w:val="555555"/>
          <w:sz w:val="20"/>
        </w:rPr>
        <w:t>CONSTRUCTION MATERIALS</w:t>
      </w:r>
    </w:p>
    <w:p>
      <w:pPr>
        <w:keepNext w:val="0"/>
        <w:spacing w:after="480"/>
      </w:pPr>
      <w:r>
        <w:rPr>
          <w:rFonts w:ascii="Arial" w:hAnsi="Arial"/>
          <w:b w:val="0"/>
          <w:i w:val="0"/>
          <w:color w:val="252525"/>
          <w:sz w:val="30"/>
        </w:rPr>
        <w:t>Two divisions with separate economics; concrete figures remain conflicted.</w:t>
      </w:r>
    </w:p>
    <w:p>
      <w:pPr>
        <w:spacing w:before="40" w:after="360"/>
        <w:pBdr>
          <w:bottom w:val="single" w:sz="8" w:space="1" w:color="111111"/>
        </w:pBdr>
      </w:pPr>
    </w:p>
    <w:p>
      <w:pPr>
        <w:spacing w:after="80"/>
      </w:pPr>
      <w:r>
        <w:rPr>
          <w:rFonts w:ascii="Arial" w:hAnsi="Arial"/>
          <w:b/>
          <w:i w:val="0"/>
          <w:color w:val="555555"/>
          <w:sz w:val="19"/>
        </w:rPr>
        <w:t xml:space="preserve">Geographic scope: </w:t>
      </w:r>
      <w:r>
        <w:rPr>
          <w:rFonts w:ascii="Arial" w:hAnsi="Arial"/>
          <w:b w:val="0"/>
          <w:i w:val="0"/>
          <w:color w:val="111111"/>
          <w:sz w:val="19"/>
        </w:rPr>
        <w:t>UAE</w:t>
      </w:r>
    </w:p>
    <w:p>
      <w:pPr>
        <w:spacing w:after="80"/>
      </w:pPr>
      <w:r>
        <w:rPr>
          <w:rFonts w:ascii="Arial" w:hAnsi="Arial"/>
          <w:b/>
          <w:i w:val="0"/>
          <w:color w:val="555555"/>
          <w:sz w:val="19"/>
        </w:rPr>
        <w:t xml:space="preserve">Data cut-off: </w:t>
      </w:r>
      <w:r>
        <w:rPr>
          <w:rFonts w:ascii="Arial" w:hAnsi="Arial"/>
          <w:b w:val="0"/>
          <w:i w:val="0"/>
          <w:color w:val="111111"/>
          <w:sz w:val="19"/>
        </w:rPr>
        <w:t>31 August 2026</w:t>
      </w:r>
    </w:p>
    <w:p>
      <w:pPr>
        <w:spacing w:after="80"/>
      </w:pPr>
      <w:r>
        <w:rPr>
          <w:rFonts w:ascii="Arial" w:hAnsi="Arial"/>
          <w:b/>
          <w:i w:val="0"/>
          <w:color w:val="555555"/>
          <w:sz w:val="19"/>
        </w:rPr>
        <w:t xml:space="preserve">Decision: </w:t>
      </w:r>
      <w:r>
        <w:rPr>
          <w:rFonts w:ascii="Arial" w:hAnsi="Arial"/>
          <w:b w:val="0"/>
          <w:i w:val="0"/>
          <w:color w:val="111111"/>
          <w:sz w:val="19"/>
        </w:rPr>
        <w:t>CONDITIONAL GO - feasibility only</w:t>
      </w:r>
    </w:p>
    <w:p>
      <w:pPr>
        <w:spacing w:after="80"/>
      </w:pPr>
      <w:r>
        <w:rPr>
          <w:rFonts w:ascii="Arial" w:hAnsi="Arial"/>
          <w:b/>
          <w:i w:val="0"/>
          <w:color w:val="555555"/>
          <w:sz w:val="19"/>
        </w:rPr>
        <w:t xml:space="preserve">Risk level: </w:t>
      </w:r>
      <w:r>
        <w:rPr>
          <w:rFonts w:ascii="Arial" w:hAnsi="Arial"/>
          <w:b w:val="0"/>
          <w:i w:val="0"/>
          <w:color w:val="111111"/>
          <w:sz w:val="19"/>
        </w:rPr>
        <w:t>High</w:t>
      </w:r>
    </w:p>
    <w:p>
      <w:pPr>
        <w:spacing w:after="80"/>
      </w:pPr>
      <w:r>
        <w:rPr>
          <w:rFonts w:ascii="Arial" w:hAnsi="Arial"/>
          <w:b/>
          <w:i w:val="0"/>
          <w:color w:val="555555"/>
          <w:sz w:val="19"/>
        </w:rPr>
        <w:t xml:space="preserve">Controlling source: </w:t>
      </w:r>
      <w:r>
        <w:rPr>
          <w:rFonts w:ascii="Arial" w:hAnsi="Arial"/>
          <w:b w:val="0"/>
          <w:i w:val="0"/>
          <w:color w:val="111111"/>
          <w:sz w:val="19"/>
        </w:rPr>
        <w:t>ALFA New Ventures Master Data Register v1.0</w:t>
      </w:r>
    </w:p>
    <w:p>
      <w:pPr>
        <w:keepNext w:val="0"/>
        <w:spacing w:after="480"/>
      </w:pPr>
      <w:r>
        <w:rPr>
          <w:rFonts w:ascii="Arial" w:hAnsi="Arial"/>
          <w:b w:val="0"/>
          <w:i/>
          <w:color w:val="888888"/>
          <w:sz w:val="18"/>
        </w:rPr>
        <w:t>Consolidated from completed research and locked evidence. Internal decision review.</w:t>
      </w:r>
    </w:p>
    <w:tbl>
      <w:tblPr>
        <w:tblStyle w:val="TableGrid"/>
        <w:tblW w:type="dxa" w:w="9640"/>
        <w:jc w:val="left"/>
        <w:tblLayout w:type="fixed"/>
        <w:tblLook w:firstColumn="1" w:firstRow="1" w:lastColumn="0" w:lastRow="0" w:noHBand="0" w:noVBand="1" w:val="04A0"/>
        <w:tblInd w:w="0" w:type="dxa"/>
      </w:tblPr>
      <w:tblGrid>
        <w:gridCol w:w="2410"/>
        <w:gridCol w:w="2410"/>
        <w:gridCol w:w="2410"/>
        <w:gridCol w:w="2410"/>
      </w:tblGrid>
      <w:tr>
        <w:trPr>
          <w:cantSplit/>
        </w:trPr>
        <w:tc>
          <w:tcPr>
            <w:tcW w:type="dxa" w:w="2410"/>
            <w:shd w:fill="F3F3F3"/>
            <w:tcMar>
              <w:top w:w="90" w:type="dxa"/>
              <w:start w:w="120" w:type="dxa"/>
              <w:bottom w:w="90" w:type="dxa"/>
              <w:end w:w="120" w:type="dxa"/>
            </w:tcMar>
          </w:tcPr>
          <w:p>
            <w:pPr>
              <w:spacing w:after="60"/>
            </w:pPr>
            <w:r>
              <w:rPr>
                <w:rFonts w:ascii="Arial" w:hAnsi="Arial"/>
                <w:b/>
                <w:i w:val="0"/>
                <w:color w:val="111111"/>
                <w:sz w:val="30"/>
              </w:rPr>
              <w:t>approximately AED 47M</w:t>
            </w:r>
          </w:p>
          <w:p>
            <w:pPr>
              <w:spacing w:after="0"/>
            </w:pPr>
            <w:r>
              <w:rPr>
                <w:rFonts w:ascii="Arial" w:hAnsi="Arial"/>
                <w:b/>
                <w:i w:val="0"/>
                <w:color w:val="555555"/>
                <w:sz w:val="14"/>
              </w:rPr>
              <w:t>Plant-platform benchmark CAPEX</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25000</w:t>
            </w:r>
          </w:p>
          <w:p>
            <w:pPr>
              <w:spacing w:after="0"/>
            </w:pPr>
            <w:r>
              <w:rPr>
                <w:rFonts w:ascii="Arial" w:hAnsi="Arial"/>
                <w:b/>
                <w:i w:val="0"/>
                <w:color w:val="555555"/>
                <w:sz w:val="14"/>
              </w:rPr>
              <w:t>Working volume</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235</w:t>
            </w:r>
          </w:p>
          <w:p>
            <w:pPr>
              <w:spacing w:after="0"/>
            </w:pPr>
            <w:r>
              <w:rPr>
                <w:rFonts w:ascii="Arial" w:hAnsi="Arial"/>
                <w:b/>
                <w:i w:val="0"/>
                <w:color w:val="555555"/>
                <w:sz w:val="14"/>
              </w:rPr>
              <w:t>Ex-factory selling price</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70.5M</w:t>
            </w:r>
          </w:p>
          <w:p>
            <w:pPr>
              <w:spacing w:after="0"/>
            </w:pPr>
            <w:r>
              <w:rPr>
                <w:rFonts w:ascii="Arial" w:hAnsi="Arial"/>
                <w:b/>
                <w:i w:val="0"/>
                <w:color w:val="555555"/>
                <w:sz w:val="14"/>
              </w:rPr>
              <w:t>Annualised sales</w:t>
            </w:r>
          </w:p>
        </w:tc>
      </w:tr>
    </w:tbl>
    <w:p>
      <w:pPr>
        <w:spacing w:after="60"/>
      </w:pPr>
    </w:p>
    <w:p>
      <w:pPr>
        <w:keepNext w:val="0"/>
        <w:spacing w:after="80"/>
      </w:pPr>
      <w:r>
        <w:rPr>
          <w:rFonts w:ascii="Arial" w:hAnsi="Arial"/>
          <w:b/>
          <w:i w:val="0"/>
          <w:color w:val="888888"/>
          <w:sz w:val="16"/>
        </w:rPr>
        <w:t>Evidence rule</w:t>
      </w:r>
    </w:p>
    <w:p>
      <w:pPr>
        <w:keepNext w:val="0"/>
        <w:spacing w:after="0"/>
      </w:pPr>
      <w:r>
        <w:rPr>
          <w:rFonts w:ascii="Arial" w:hAnsi="Arial"/>
          <w:b w:val="0"/>
          <w:i w:val="0"/>
          <w:color w:val="555555"/>
          <w:sz w:val="18"/>
        </w:rPr>
        <w:t>Published facts, company-reported figures, calculations and modelled assumptions remain separately labelled. Missing quotations, contracts and live operating evidence have not been invented.</w:t>
      </w:r>
    </w:p>
    <w:p>
      <w:r>
        <w:br w:type="page"/>
      </w:r>
    </w:p>
    <w:p>
      <w:pPr>
        <w:pStyle w:val="Heading1"/>
      </w:pPr>
      <w:r>
        <w:t>Report map</w:t>
      </w:r>
    </w:p>
    <w:tbl>
      <w:tblPr>
        <w:tblStyle w:val="TableGrid"/>
        <w:tblW w:type="dxa" w:w="9640"/>
        <w:tblLayout w:type="fixed"/>
        <w:tblLook w:firstColumn="1" w:firstRow="1" w:lastColumn="0" w:lastRow="0" w:noHBand="0" w:noVBand="1" w:val="04A0"/>
        <w:jc w:val="left"/>
        <w:tblInd w:w="0" w:type="dxa"/>
      </w:tblPr>
      <w:tblGrid>
        <w:gridCol w:w="1300"/>
        <w:gridCol w:w="8340"/>
      </w:tblGrid>
      <w:tr>
        <w:trPr>
          <w:cantSplit/>
          <w:tblHeader w:val="true"/>
          <w:cantSplit/>
        </w:trPr>
        <w:tc>
          <w:tcPr>
            <w:tcW w:type="dxa" w:w="1300"/>
            <w:tcMar>
              <w:top w:w="90" w:type="dxa"/>
              <w:start w:w="120" w:type="dxa"/>
              <w:bottom w:w="90" w:type="dxa"/>
              <w:end w:w="120" w:type="dxa"/>
            </w:tcMar>
            <w:shd w:fill="111111"/>
            <w:vAlign w:val="center"/>
          </w:tcPr>
          <w:p>
            <w:pPr>
              <w:spacing w:after="0"/>
            </w:pPr>
            <w:r>
              <w:rPr>
                <w:rFonts w:ascii="Arial" w:hAnsi="Arial"/>
                <w:b/>
                <w:i w:val="0"/>
                <w:color w:val="FFFFFF"/>
                <w:sz w:val="18"/>
              </w:rPr>
              <w:t>SECTION</w:t>
            </w:r>
          </w:p>
        </w:tc>
        <w:tc>
          <w:tcPr>
            <w:tcW w:type="dxa" w:w="8340"/>
            <w:tcMar>
              <w:top w:w="90" w:type="dxa"/>
              <w:start w:w="120" w:type="dxa"/>
              <w:bottom w:w="90" w:type="dxa"/>
              <w:end w:w="120" w:type="dxa"/>
            </w:tcMar>
            <w:shd w:fill="111111"/>
            <w:vAlign w:val="center"/>
          </w:tcPr>
          <w:p>
            <w:pPr>
              <w:spacing w:after="0"/>
            </w:pPr>
            <w:r>
              <w:rPr>
                <w:rFonts w:ascii="Arial" w:hAnsi="Arial"/>
                <w:b/>
                <w:i w:val="0"/>
                <w:color w:val="FFFFFF"/>
                <w:sz w:val="18"/>
              </w:rPr>
              <w:t>CONTENT</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01</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Decision and scope</w:t>
            </w:r>
          </w:p>
        </w:tc>
      </w:tr>
      <w:tr>
        <w:trPr>
          <w:cantSplit/>
          <w:cantSplit/>
        </w:trPr>
        <w:tc>
          <w:tcPr>
            <w:tcW w:type="dxa" w:w="1300"/>
            <w:shd w:fill="FFFFFF"/>
            <w:vAlign w:val="top"/>
            <w:tcMar>
              <w:top w:w="90" w:type="dxa"/>
              <w:start w:w="120" w:type="dxa"/>
              <w:bottom w:w="90" w:type="dxa"/>
              <w:end w:w="120" w:type="dxa"/>
            </w:tcMar>
          </w:tcPr>
          <w:p>
            <w:pPr>
              <w:spacing w:after="0"/>
            </w:pPr>
            <w:r>
              <w:rPr>
                <w:rFonts w:ascii="Arial" w:hAnsi="Arial"/>
                <w:b/>
                <w:i w:val="0"/>
                <w:color w:val="111111"/>
                <w:sz w:val="18"/>
              </w:rPr>
              <w:t>02</w:t>
            </w:r>
          </w:p>
        </w:tc>
        <w:tc>
          <w:tcPr>
            <w:tcW w:type="dxa" w:w="8340"/>
            <w:shd w:fill="FFFFFF"/>
            <w:vAlign w:val="top"/>
            <w:tcMar>
              <w:top w:w="90" w:type="dxa"/>
              <w:start w:w="120" w:type="dxa"/>
              <w:bottom w:w="90" w:type="dxa"/>
              <w:end w:w="120" w:type="dxa"/>
            </w:tcMar>
          </w:tcPr>
          <w:p>
            <w:pPr>
              <w:spacing w:after="0"/>
            </w:pPr>
            <w:r>
              <w:rPr>
                <w:rFonts w:ascii="Arial" w:hAnsi="Arial"/>
                <w:b w:val="0"/>
                <w:i w:val="0"/>
                <w:color w:val="111111"/>
                <w:sz w:val="18"/>
              </w:rPr>
              <w:t>Business model and market</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03</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Commercial model, capital and returns</w:t>
            </w:r>
          </w:p>
        </w:tc>
      </w:tr>
      <w:tr>
        <w:trPr>
          <w:cantSplit/>
          <w:cantSplit/>
        </w:trPr>
        <w:tc>
          <w:tcPr>
            <w:tcW w:type="dxa" w:w="1300"/>
            <w:shd w:fill="FFFFFF"/>
            <w:vAlign w:val="top"/>
            <w:tcMar>
              <w:top w:w="90" w:type="dxa"/>
              <w:start w:w="120" w:type="dxa"/>
              <w:bottom w:w="90" w:type="dxa"/>
              <w:end w:w="120" w:type="dxa"/>
            </w:tcMar>
          </w:tcPr>
          <w:p>
            <w:pPr>
              <w:spacing w:after="0"/>
            </w:pPr>
            <w:r>
              <w:rPr>
                <w:rFonts w:ascii="Arial" w:hAnsi="Arial"/>
                <w:b/>
                <w:i w:val="0"/>
                <w:color w:val="111111"/>
                <w:sz w:val="18"/>
              </w:rPr>
              <w:t>04</w:t>
            </w:r>
          </w:p>
        </w:tc>
        <w:tc>
          <w:tcPr>
            <w:tcW w:type="dxa" w:w="8340"/>
            <w:shd w:fill="FFFFFF"/>
            <w:vAlign w:val="top"/>
            <w:tcMar>
              <w:top w:w="90" w:type="dxa"/>
              <w:start w:w="120" w:type="dxa"/>
              <w:bottom w:w="90" w:type="dxa"/>
              <w:end w:w="120" w:type="dxa"/>
            </w:tcMar>
          </w:tcPr>
          <w:p>
            <w:pPr>
              <w:spacing w:after="0"/>
            </w:pPr>
            <w:r>
              <w:rPr>
                <w:rFonts w:ascii="Arial" w:hAnsi="Arial"/>
                <w:b w:val="0"/>
                <w:i w:val="0"/>
                <w:color w:val="111111"/>
                <w:sz w:val="18"/>
              </w:rPr>
              <w:t>Operations, regulation and risks</w:t>
            </w:r>
          </w:p>
        </w:tc>
      </w:tr>
      <w:tr>
        <w:trPr>
          <w:cantSplit/>
          <w:cantSplit/>
        </w:trPr>
        <w:tc>
          <w:tcPr>
            <w:tcW w:type="dxa" w:w="1300"/>
            <w:shd w:fill="F3F3F3"/>
            <w:vAlign w:val="top"/>
            <w:tcMar>
              <w:top w:w="90" w:type="dxa"/>
              <w:start w:w="120" w:type="dxa"/>
              <w:bottom w:w="90" w:type="dxa"/>
              <w:end w:w="120" w:type="dxa"/>
            </w:tcMar>
          </w:tcPr>
          <w:p>
            <w:pPr>
              <w:spacing w:after="0"/>
            </w:pPr>
            <w:r>
              <w:rPr>
                <w:rFonts w:ascii="Arial" w:hAnsi="Arial"/>
                <w:b/>
                <w:i w:val="0"/>
                <w:color w:val="111111"/>
                <w:sz w:val="18"/>
              </w:rPr>
              <w:t>05</w:t>
            </w:r>
          </w:p>
        </w:tc>
        <w:tc>
          <w:tcPr>
            <w:tcW w:type="dxa" w:w="8340"/>
            <w:shd w:fill="F3F3F3"/>
            <w:vAlign w:val="top"/>
            <w:tcMar>
              <w:top w:w="90" w:type="dxa"/>
              <w:start w:w="120" w:type="dxa"/>
              <w:bottom w:w="90" w:type="dxa"/>
              <w:end w:w="120" w:type="dxa"/>
            </w:tcMar>
          </w:tcPr>
          <w:p>
            <w:pPr>
              <w:spacing w:after="0"/>
            </w:pPr>
            <w:r>
              <w:rPr>
                <w:rFonts w:ascii="Arial" w:hAnsi="Arial"/>
                <w:b w:val="0"/>
                <w:i w:val="0"/>
                <w:color w:val="111111"/>
                <w:sz w:val="18"/>
              </w:rPr>
              <w:t>Diligence, conflicts and evidence register</w:t>
            </w:r>
          </w:p>
        </w:tc>
      </w:tr>
    </w:tbl>
    <w:p>
      <w:pPr>
        <w:spacing w:after="40"/>
      </w:pPr>
    </w:p>
    <w:p>
      <w:pPr>
        <w:keepNext w:val="0"/>
        <w:spacing w:after="120"/>
      </w:pPr>
      <w:r>
        <w:rPr>
          <w:rFonts w:ascii="Arial" w:hAnsi="Arial"/>
          <w:b w:val="0"/>
          <w:i w:val="0"/>
          <w:color w:val="555555"/>
          <w:sz w:val="18"/>
        </w:rPr>
        <w:t>Use Word's navigation pane to move through the heading hierarchy. Every material figure is repeated in the claim register with its evidence classification and source reference.</w:t>
      </w:r>
    </w:p>
    <w:p>
      <w:pPr>
        <w:pStyle w:val="Heading1"/>
      </w:pPr>
      <w:r>
        <w:t>Executive summary</w:t>
      </w:r>
    </w:p>
    <w:p>
      <w:pPr>
        <w:keepNext w:val="0"/>
        <w:spacing w:after="200"/>
      </w:pPr>
      <w:r>
        <w:rPr>
          <w:rFonts w:ascii="Arial" w:hAnsi="Arial"/>
          <w:b w:val="0"/>
          <w:i w:val="0"/>
          <w:color w:val="111111"/>
          <w:sz w:val="22"/>
        </w:rPr>
        <w:t>Asphalt/RAP production and asset-light concrete delivery belong under one sponsor platform but remain separate operating divisions. Neither division is ready for capital approval until quotations, inputs, offtake and working-capital requirements are reconciled.</w:t>
      </w:r>
    </w:p>
    <w:tbl>
      <w:tblPr>
        <w:tblStyle w:val="TableGrid"/>
        <w:tblW w:type="dxa" w:w="9640"/>
        <w:jc w:val="left"/>
        <w:tblLayout w:type="fixed"/>
        <w:tblLook w:firstColumn="1" w:firstRow="1" w:lastColumn="0" w:lastRow="0" w:noHBand="0" w:noVBand="1" w:val="04A0"/>
        <w:tblInd w:w="0" w:type="dxa"/>
      </w:tblPr>
      <w:tblGrid>
        <w:gridCol w:w="2410"/>
        <w:gridCol w:w="2410"/>
        <w:gridCol w:w="2410"/>
        <w:gridCol w:w="2410"/>
      </w:tblGrid>
      <w:tr>
        <w:trPr>
          <w:cantSplit/>
        </w:trPr>
        <w:tc>
          <w:tcPr>
            <w:tcW w:type="dxa" w:w="2410"/>
            <w:shd w:fill="F3F3F3"/>
            <w:tcMar>
              <w:top w:w="90" w:type="dxa"/>
              <w:start w:w="120" w:type="dxa"/>
              <w:bottom w:w="90" w:type="dxa"/>
              <w:end w:w="120" w:type="dxa"/>
            </w:tcMar>
          </w:tcPr>
          <w:p>
            <w:pPr>
              <w:spacing w:after="60"/>
            </w:pPr>
            <w:r>
              <w:rPr>
                <w:rFonts w:ascii="Arial" w:hAnsi="Arial"/>
                <w:b/>
                <w:i w:val="0"/>
                <w:color w:val="111111"/>
                <w:sz w:val="30"/>
              </w:rPr>
              <w:t>approximately AED 47M</w:t>
            </w:r>
          </w:p>
          <w:p>
            <w:pPr>
              <w:spacing w:after="0"/>
            </w:pPr>
            <w:r>
              <w:rPr>
                <w:rFonts w:ascii="Arial" w:hAnsi="Arial"/>
                <w:b/>
                <w:i w:val="0"/>
                <w:color w:val="555555"/>
                <w:sz w:val="14"/>
              </w:rPr>
              <w:t>Plant-platform benchmark CAPEX</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25000</w:t>
            </w:r>
          </w:p>
          <w:p>
            <w:pPr>
              <w:spacing w:after="0"/>
            </w:pPr>
            <w:r>
              <w:rPr>
                <w:rFonts w:ascii="Arial" w:hAnsi="Arial"/>
                <w:b/>
                <w:i w:val="0"/>
                <w:color w:val="555555"/>
                <w:sz w:val="14"/>
              </w:rPr>
              <w:t>Working volume</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235</w:t>
            </w:r>
          </w:p>
          <w:p>
            <w:pPr>
              <w:spacing w:after="0"/>
            </w:pPr>
            <w:r>
              <w:rPr>
                <w:rFonts w:ascii="Arial" w:hAnsi="Arial"/>
                <w:b/>
                <w:i w:val="0"/>
                <w:color w:val="555555"/>
                <w:sz w:val="14"/>
              </w:rPr>
              <w:t>Ex-factory selling price</w:t>
            </w:r>
          </w:p>
        </w:tc>
        <w:tc>
          <w:tcPr>
            <w:tcW w:type="dxa" w:w="2410"/>
            <w:shd w:fill="F3F3F3"/>
            <w:tcMar>
              <w:top w:w="90" w:type="dxa"/>
              <w:start w:w="120" w:type="dxa"/>
              <w:bottom w:w="90" w:type="dxa"/>
              <w:end w:w="120" w:type="dxa"/>
            </w:tcMar>
          </w:tcPr>
          <w:p>
            <w:pPr>
              <w:spacing w:after="60"/>
            </w:pPr>
            <w:r>
              <w:rPr>
                <w:rFonts w:ascii="Arial" w:hAnsi="Arial"/>
                <w:b/>
                <w:i w:val="0"/>
                <w:color w:val="111111"/>
                <w:sz w:val="30"/>
              </w:rPr>
              <w:t>AED 70.5M</w:t>
            </w:r>
          </w:p>
          <w:p>
            <w:pPr>
              <w:spacing w:after="0"/>
            </w:pPr>
            <w:r>
              <w:rPr>
                <w:rFonts w:ascii="Arial" w:hAnsi="Arial"/>
                <w:b/>
                <w:i w:val="0"/>
                <w:color w:val="555555"/>
                <w:sz w:val="14"/>
              </w:rPr>
              <w:t>Annualised sales</w:t>
            </w:r>
          </w:p>
        </w:tc>
      </w:tr>
    </w:tbl>
    <w:p>
      <w:pPr>
        <w:spacing w:after="60"/>
      </w:pPr>
    </w:p>
    <w:tbl>
      <w:tblPr>
        <w:tblStyle w:val="TableGrid"/>
        <w:tblW w:type="dxa" w:w="9640"/>
        <w:tblLayout w:type="fixed"/>
        <w:tblLook w:firstColumn="1" w:firstRow="1" w:lastColumn="0" w:lastRow="0" w:noHBand="0" w:noVBand="1" w:val="04A0"/>
        <w:jc w:val="left"/>
        <w:tblInd w:w="0" w:type="dxa"/>
      </w:tblPr>
      <w:tblGrid>
        <w:gridCol w:w="2300"/>
        <w:gridCol w:w="7340"/>
      </w:tblGrid>
      <w:tr>
        <w:trPr>
          <w:cantSplit/>
          <w:tblHeader w:val="true"/>
          <w:cantSplit/>
        </w:trPr>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7"/>
              </w:rPr>
              <w:t>DECISION ITEM</w:t>
            </w:r>
          </w:p>
        </w:tc>
        <w:tc>
          <w:tcPr>
            <w:tcW w:type="dxa" w:w="7340"/>
            <w:tcMar>
              <w:top w:w="90" w:type="dxa"/>
              <w:start w:w="120" w:type="dxa"/>
              <w:bottom w:w="90" w:type="dxa"/>
              <w:end w:w="120" w:type="dxa"/>
            </w:tcMar>
            <w:shd w:fill="111111"/>
            <w:vAlign w:val="center"/>
          </w:tcPr>
          <w:p>
            <w:pPr>
              <w:spacing w:after="0"/>
            </w:pPr>
            <w:r>
              <w:rPr>
                <w:rFonts w:ascii="Arial" w:hAnsi="Arial"/>
                <w:b/>
                <w:i w:val="0"/>
                <w:color w:val="FFFFFF"/>
                <w:sz w:val="17"/>
              </w:rPr>
              <w:t>LOCKED POSITION</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7"/>
              </w:rPr>
              <w:t>Decision</w:t>
            </w:r>
          </w:p>
        </w:tc>
        <w:tc>
          <w:tcPr>
            <w:tcW w:type="dxa" w:w="7340"/>
            <w:shd w:fill="F3F3F3"/>
            <w:vAlign w:val="top"/>
            <w:tcMar>
              <w:top w:w="90" w:type="dxa"/>
              <w:start w:w="120" w:type="dxa"/>
              <w:bottom w:w="90" w:type="dxa"/>
              <w:end w:w="120" w:type="dxa"/>
            </w:tcMar>
          </w:tcPr>
          <w:p>
            <w:pPr>
              <w:spacing w:after="0"/>
            </w:pPr>
            <w:r>
              <w:rPr>
                <w:rFonts w:ascii="Arial" w:hAnsi="Arial"/>
                <w:b w:val="0"/>
                <w:i w:val="0"/>
                <w:color w:val="111111"/>
                <w:sz w:val="17"/>
              </w:rPr>
              <w:t>CONDITIONAL GO - feasibility only</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7"/>
              </w:rPr>
              <w:t>Preferred model</w:t>
            </w:r>
          </w:p>
        </w:tc>
        <w:tc>
          <w:tcPr>
            <w:tcW w:type="dxa" w:w="7340"/>
            <w:shd w:fill="FFFFFF"/>
            <w:vAlign w:val="top"/>
            <w:tcMar>
              <w:top w:w="90" w:type="dxa"/>
              <w:start w:w="120" w:type="dxa"/>
              <w:bottom w:w="90" w:type="dxa"/>
              <w:end w:w="120" w:type="dxa"/>
            </w:tcMar>
          </w:tcPr>
          <w:p>
            <w:pPr>
              <w:spacing w:after="0"/>
            </w:pPr>
            <w:r>
              <w:rPr>
                <w:rFonts w:ascii="Arial" w:hAnsi="Arial"/>
                <w:b w:val="0"/>
                <w:i w:val="0"/>
                <w:color w:val="111111"/>
                <w:sz w:val="17"/>
              </w:rPr>
              <w:t>Keep asphalt/RAP and asset-light concrete delivery as separate operating divisions with separate models and shared sponsor capabilities.</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7"/>
              </w:rPr>
              <w:t>Gate before commitment</w:t>
            </w:r>
          </w:p>
        </w:tc>
        <w:tc>
          <w:tcPr>
            <w:tcW w:type="dxa" w:w="7340"/>
            <w:shd w:fill="F3F3F3"/>
            <w:vAlign w:val="top"/>
            <w:tcMar>
              <w:top w:w="90" w:type="dxa"/>
              <w:start w:w="120" w:type="dxa"/>
              <w:bottom w:w="90" w:type="dxa"/>
              <w:end w:w="120" w:type="dxa"/>
            </w:tcMar>
          </w:tcPr>
          <w:p>
            <w:pPr>
              <w:spacing w:after="0"/>
            </w:pPr>
            <w:r>
              <w:rPr>
                <w:rFonts w:ascii="Arial" w:hAnsi="Arial"/>
                <w:b w:val="0"/>
                <w:i w:val="0"/>
                <w:color w:val="111111"/>
                <w:sz w:val="17"/>
              </w:rPr>
              <w:t>No capital approval until plant/fleet quotations, land/utilities, raw materials, customer offtake, working capital and the concrete arithmetic are reconciled.</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7"/>
              </w:rPr>
              <w:t>Source status</w:t>
            </w:r>
          </w:p>
        </w:tc>
        <w:tc>
          <w:tcPr>
            <w:tcW w:type="dxa" w:w="7340"/>
            <w:shd w:fill="FFFFFF"/>
            <w:vAlign w:val="top"/>
            <w:tcMar>
              <w:top w:w="90" w:type="dxa"/>
              <w:start w:w="120" w:type="dxa"/>
              <w:bottom w:w="90" w:type="dxa"/>
              <w:end w:w="120" w:type="dxa"/>
            </w:tcMar>
          </w:tcPr>
          <w:p>
            <w:pPr>
              <w:spacing w:after="0"/>
            </w:pPr>
            <w:r>
              <w:rPr>
                <w:rFonts w:ascii="Arial" w:hAnsi="Arial"/>
                <w:b w:val="0"/>
                <w:i w:val="0"/>
                <w:color w:val="111111"/>
                <w:sz w:val="17"/>
              </w:rPr>
              <w:t>Asphalt/RAP research, ready-mix comparative research and Gray Rock proposal available; combined report and reconciled model pending.</w:t>
            </w:r>
          </w:p>
        </w:tc>
      </w:tr>
    </w:tbl>
    <w:p>
      <w:pPr>
        <w:spacing w:after="40"/>
      </w:pPr>
    </w:p>
    <w:p>
      <w:pPr>
        <w:pStyle w:val="Heading2"/>
      </w:pPr>
      <w:r>
        <w:t>Principal advantages</w:t>
      </w:r>
    </w:p>
    <w:p>
      <w:pPr>
        <w:pStyle w:val="ListBullet"/>
      </w:pPr>
      <w:r>
        <w:t>Two divisions with separate economics; concrete figures remain conflicted.</w:t>
      </w:r>
    </w:p>
    <w:p>
      <w:pPr>
        <w:pStyle w:val="ListBullet"/>
      </w:pPr>
      <w:r>
        <w:t>No UAE site is approved. The selected site must match customer catchment, raw-material logistics, utilities and permitting.</w:t>
      </w:r>
    </w:p>
    <w:p>
      <w:pPr>
        <w:pStyle w:val="ListBullet"/>
      </w:pPr>
      <w:r>
        <w:t>The selected entry model is: Keep asphalt/RAP and asset-light concrete delivery as separate operating divisions with separate models and shared sponsor capabilities.</w:t>
      </w:r>
    </w:p>
    <w:p>
      <w:pPr>
        <w:pStyle w:val="Heading2"/>
      </w:pPr>
      <w:r>
        <w:t>Principal weaknesses</w:t>
      </w:r>
    </w:p>
    <w:p>
      <w:pPr>
        <w:pStyle w:val="ListBullet"/>
      </w:pPr>
      <w:r>
        <w:t>Unreconciled margin assumptions</w:t>
      </w:r>
    </w:p>
    <w:p>
      <w:pPr>
        <w:pStyle w:val="ListBullet"/>
      </w:pPr>
      <w:r>
        <w:t>Plant or fleet underutilisation</w:t>
      </w:r>
    </w:p>
    <w:p>
      <w:pPr>
        <w:pStyle w:val="ListBullet"/>
      </w:pPr>
      <w:r>
        <w:t>Input-price volatility</w:t>
      </w:r>
    </w:p>
    <w:p>
      <w:pPr>
        <w:pStyle w:val="ListBullet"/>
      </w:pPr>
      <w:r>
        <w:t>Customer concentration and delayed payment</w:t>
      </w:r>
    </w:p>
    <w:p>
      <w:r>
        <w:br w:type="page"/>
      </w:r>
    </w:p>
    <w:p>
      <w:pPr>
        <w:pStyle w:val="Heading1"/>
      </w:pPr>
      <w:r>
        <w:t>Research scope and business model</w:t>
      </w:r>
    </w:p>
    <w:p>
      <w:pPr>
        <w:keepNext w:val="0"/>
        <w:spacing w:after="120"/>
      </w:pPr>
      <w:r>
        <w:rPr>
          <w:rFonts w:ascii="Arial" w:hAnsi="Arial"/>
          <w:b w:val="0"/>
          <w:i w:val="0"/>
          <w:color w:val="111111"/>
          <w:sz w:val="20"/>
        </w:rPr>
        <w:t>This report formalises the locked decision case for Asphalt + Concrete. It preserves the current evidence boundary and identifies the commercial proof required before commitment.</w:t>
      </w:r>
    </w:p>
    <w:p>
      <w:pPr>
        <w:pStyle w:val="Heading2"/>
      </w:pPr>
      <w:r>
        <w:t>Customer groups</w:t>
      </w:r>
    </w:p>
    <w:p>
      <w:pPr>
        <w:pStyle w:val="ListBullet"/>
      </w:pPr>
      <w:r>
        <w:t>Road contractors and infrastructure projects</w:t>
      </w:r>
    </w:p>
    <w:p>
      <w:pPr>
        <w:pStyle w:val="ListBullet"/>
      </w:pPr>
      <w:r>
        <w:t>Developers and civil contractors</w:t>
      </w:r>
    </w:p>
    <w:p>
      <w:pPr>
        <w:pStyle w:val="ListBullet"/>
      </w:pPr>
      <w:r>
        <w:t>Concrete customers requiring delivery and pumping</w:t>
      </w:r>
    </w:p>
    <w:p>
      <w:pPr>
        <w:pStyle w:val="ListBullet"/>
      </w:pPr>
      <w:r>
        <w:t>Anchor offtakers able to support plant or fleet utilisation</w:t>
      </w:r>
    </w:p>
    <w:p>
      <w:pPr>
        <w:pStyle w:val="Heading2"/>
      </w:pPr>
      <w:r>
        <w:t>Products or operating segments</w:t>
      </w:r>
    </w:p>
    <w:p>
      <w:pPr>
        <w:pStyle w:val="ListBullet"/>
      </w:pPr>
      <w:r>
        <w:t>Asphalt production</w:t>
      </w:r>
    </w:p>
    <w:p>
      <w:pPr>
        <w:pStyle w:val="ListBullet"/>
      </w:pPr>
      <w:r>
        <w:t>RAP integration</w:t>
      </w:r>
    </w:p>
    <w:p>
      <w:pPr>
        <w:pStyle w:val="ListBullet"/>
      </w:pPr>
      <w:r>
        <w:t>Paving and road-material services</w:t>
      </w:r>
    </w:p>
    <w:p>
      <w:pPr>
        <w:pStyle w:val="ListBullet"/>
      </w:pPr>
      <w:r>
        <w:t>Concrete trading, delivery and pumping</w:t>
      </w:r>
    </w:p>
    <w:p>
      <w:pPr>
        <w:pStyle w:val="Heading2"/>
      </w:pPr>
      <w:r>
        <w:t>Revenue model</w:t>
      </w:r>
    </w:p>
    <w:p>
      <w:pPr>
        <w:pStyle w:val="ListBullet"/>
      </w:pPr>
      <w:r>
        <w:t>Asphalt tonnes sold</w:t>
      </w:r>
    </w:p>
    <w:p>
      <w:pPr>
        <w:pStyle w:val="ListBullet"/>
      </w:pPr>
      <w:r>
        <w:t>Paving and service contracts</w:t>
      </w:r>
    </w:p>
    <w:p>
      <w:pPr>
        <w:pStyle w:val="ListBullet"/>
      </w:pPr>
      <w:r>
        <w:t>Concrete cubic metres delivered</w:t>
      </w:r>
    </w:p>
    <w:p>
      <w:pPr>
        <w:pStyle w:val="ListBullet"/>
      </w:pPr>
      <w:r>
        <w:t>Pumping and delivery charges</w:t>
      </w:r>
    </w:p>
    <w:p>
      <w:pPr>
        <w:pStyle w:val="Heading2"/>
      </w:pPr>
      <w:r>
        <w:t>Preferred entry model</w:t>
      </w:r>
    </w:p>
    <w:p>
      <w:pPr>
        <w:keepNext w:val="0"/>
        <w:spacing w:after="120"/>
      </w:pPr>
      <w:r>
        <w:rPr>
          <w:rFonts w:ascii="Arial" w:hAnsi="Arial"/>
          <w:b w:val="0"/>
          <w:i w:val="0"/>
          <w:color w:val="111111"/>
          <w:sz w:val="20"/>
        </w:rPr>
        <w:t>Keep asphalt/RAP and asset-light concrete delivery as separate operating divisions with separate models and shared sponsor capabilities.</w:t>
      </w:r>
    </w:p>
    <w:p>
      <w:pPr>
        <w:pStyle w:val="Heading2"/>
      </w:pPr>
      <w:r>
        <w:t>Location logic</w:t>
      </w:r>
    </w:p>
    <w:p>
      <w:pPr>
        <w:keepNext w:val="0"/>
        <w:spacing w:after="120"/>
      </w:pPr>
      <w:r>
        <w:rPr>
          <w:rFonts w:ascii="Arial" w:hAnsi="Arial"/>
          <w:b w:val="0"/>
          <w:i w:val="0"/>
          <w:color w:val="111111"/>
          <w:sz w:val="20"/>
        </w:rPr>
        <w:t>No UAE site is approved. The selected site must match customer catchment, raw-material logistics, utilities and permitting.</w:t>
      </w:r>
    </w:p>
    <w:p>
      <w:pPr>
        <w:pStyle w:val="Heading1"/>
      </w:pPr>
      <w:r>
        <w:t>Market and demand</w:t>
      </w:r>
    </w:p>
    <w:p>
      <w:pPr>
        <w:keepNext w:val="0"/>
        <w:spacing w:after="120"/>
      </w:pPr>
      <w:r>
        <w:rPr>
          <w:rFonts w:ascii="Arial" w:hAnsi="Arial"/>
          <w:b w:val="0"/>
          <w:i w:val="0"/>
          <w:color w:val="111111"/>
          <w:sz w:val="20"/>
        </w:rPr>
        <w:t>Not publicly verified in the available research. The controlling register does not contain a publishable market-size schedule for this venture.</w:t>
      </w:r>
    </w:p>
    <w:p>
      <w:pPr>
        <w:pStyle w:val="Heading2"/>
      </w:pPr>
      <w:r>
        <w:t>Competition and positioning</w:t>
      </w:r>
    </w:p>
    <w:p>
      <w:pPr>
        <w:keepNext w:val="0"/>
        <w:spacing w:after="120"/>
      </w:pPr>
      <w:r>
        <w:rPr>
          <w:rFonts w:ascii="Arial" w:hAnsi="Arial"/>
          <w:b w:val="0"/>
          <w:i w:val="0"/>
          <w:color w:val="111111"/>
          <w:sz w:val="20"/>
        </w:rPr>
        <w:t>A complete live competitor, pricing and capacity schedule is not contained in the controlling register. Competitive positioning must therefore be validated against current operators, current assets and current customer quotations before commitment.</w:t>
      </w:r>
    </w:p>
    <w:p>
      <w:r>
        <w:br w:type="page"/>
      </w:r>
    </w:p>
    <w:p>
      <w:pPr>
        <w:pStyle w:val="Heading1"/>
      </w:pPr>
      <w:r>
        <w:t>Pricing, revenue, CAPEX and returns</w:t>
      </w:r>
    </w:p>
    <w:tbl>
      <w:tblPr>
        <w:tblStyle w:val="TableGrid"/>
        <w:tblW w:type="dxa" w:w="9640"/>
        <w:tblLayout w:type="fixed"/>
        <w:tblLook w:firstColumn="1" w:firstRow="1" w:lastColumn="0" w:lastRow="0" w:noHBand="0" w:noVBand="1" w:val="04A0"/>
        <w:jc w:val="left"/>
        <w:tblInd w:w="0" w:type="dxa"/>
      </w:tblPr>
      <w:tblGrid>
        <w:gridCol w:w="2300"/>
        <w:gridCol w:w="1450"/>
        <w:gridCol w:w="1100"/>
        <w:gridCol w:w="1450"/>
        <w:gridCol w:w="2300"/>
        <w:gridCol w:w="1040"/>
      </w:tblGrid>
      <w:tr>
        <w:trPr>
          <w:cantSplit/>
          <w:tblHeader w:val="true"/>
          <w:cantSplit/>
        </w:trPr>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4"/>
              </w:rPr>
              <w:t>METRIC</w:t>
            </w:r>
          </w:p>
        </w:tc>
        <w:tc>
          <w:tcPr>
            <w:tcW w:type="dxa" w:w="1450"/>
            <w:tcMar>
              <w:top w:w="90" w:type="dxa"/>
              <w:start w:w="120" w:type="dxa"/>
              <w:bottom w:w="90" w:type="dxa"/>
              <w:end w:w="120" w:type="dxa"/>
            </w:tcMar>
            <w:shd w:fill="111111"/>
            <w:vAlign w:val="center"/>
          </w:tcPr>
          <w:p>
            <w:pPr>
              <w:spacing w:after="0"/>
            </w:pPr>
            <w:r>
              <w:rPr>
                <w:rFonts w:ascii="Arial" w:hAnsi="Arial"/>
                <w:b/>
                <w:i w:val="0"/>
                <w:color w:val="FFFFFF"/>
                <w:sz w:val="14"/>
              </w:rPr>
              <w:t>VALUE</w:t>
            </w:r>
          </w:p>
        </w:tc>
        <w:tc>
          <w:tcPr>
            <w:tcW w:type="dxa" w:w="1100"/>
            <w:tcMar>
              <w:top w:w="90" w:type="dxa"/>
              <w:start w:w="120" w:type="dxa"/>
              <w:bottom w:w="90" w:type="dxa"/>
              <w:end w:w="120" w:type="dxa"/>
            </w:tcMar>
            <w:shd w:fill="111111"/>
            <w:vAlign w:val="center"/>
          </w:tcPr>
          <w:p>
            <w:pPr>
              <w:spacing w:after="0"/>
            </w:pPr>
            <w:r>
              <w:rPr>
                <w:rFonts w:ascii="Arial" w:hAnsi="Arial"/>
                <w:b/>
                <w:i w:val="0"/>
                <w:color w:val="FFFFFF"/>
                <w:sz w:val="14"/>
              </w:rPr>
              <w:t>UNIT</w:t>
            </w:r>
          </w:p>
        </w:tc>
        <w:tc>
          <w:tcPr>
            <w:tcW w:type="dxa" w:w="1450"/>
            <w:tcMar>
              <w:top w:w="90" w:type="dxa"/>
              <w:start w:w="120" w:type="dxa"/>
              <w:bottom w:w="90" w:type="dxa"/>
              <w:end w:w="120" w:type="dxa"/>
            </w:tcMar>
            <w:shd w:fill="111111"/>
            <w:vAlign w:val="center"/>
          </w:tcPr>
          <w:p>
            <w:pPr>
              <w:spacing w:after="0"/>
            </w:pPr>
            <w:r>
              <w:rPr>
                <w:rFonts w:ascii="Arial" w:hAnsi="Arial"/>
                <w:b/>
                <w:i w:val="0"/>
                <w:color w:val="FFFFFF"/>
                <w:sz w:val="14"/>
              </w:rPr>
              <w:t>PERIOD</w:t>
            </w:r>
          </w:p>
        </w:tc>
        <w:tc>
          <w:tcPr>
            <w:tcW w:type="dxa" w:w="2300"/>
            <w:tcMar>
              <w:top w:w="90" w:type="dxa"/>
              <w:start w:w="120" w:type="dxa"/>
              <w:bottom w:w="90" w:type="dxa"/>
              <w:end w:w="120" w:type="dxa"/>
            </w:tcMar>
            <w:shd w:fill="111111"/>
            <w:vAlign w:val="center"/>
          </w:tcPr>
          <w:p>
            <w:pPr>
              <w:spacing w:after="0"/>
            </w:pPr>
            <w:r>
              <w:rPr>
                <w:rFonts w:ascii="Arial" w:hAnsi="Arial"/>
                <w:b/>
                <w:i w:val="0"/>
                <w:color w:val="FFFFFF"/>
                <w:sz w:val="14"/>
              </w:rPr>
              <w:t>EVIDENCE</w:t>
            </w:r>
          </w:p>
        </w:tc>
        <w:tc>
          <w:tcPr>
            <w:tcW w:type="dxa" w:w="1040"/>
            <w:tcMar>
              <w:top w:w="90" w:type="dxa"/>
              <w:start w:w="120" w:type="dxa"/>
              <w:bottom w:w="90" w:type="dxa"/>
              <w:end w:w="120" w:type="dxa"/>
            </w:tcMar>
            <w:shd w:fill="111111"/>
            <w:vAlign w:val="center"/>
          </w:tcPr>
          <w:p>
            <w:pPr>
              <w:spacing w:after="0"/>
            </w:pPr>
            <w:r>
              <w:rPr>
                <w:rFonts w:ascii="Arial" w:hAnsi="Arial"/>
                <w:b/>
                <w:i w:val="0"/>
                <w:color w:val="FFFFFF"/>
                <w:sz w:val="14"/>
              </w:rPr>
              <w:t>SOURCE</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Plant-platform benchmark CAPEX</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approximately AED 47M</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AED</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2026 research model</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S08</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Working volume</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25000</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tonnes/month</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Base model</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S08</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Ex-factory selling price</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235</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AED/tonne</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Base model</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S08</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Target net figure</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45</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AED/tonne</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Base model</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CONFLICTING SOURCE DATA</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S08</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Annualised sales</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AED 70.5M</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AED/year</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Base model</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S08</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Simple payback</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approximately 3.5 years</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years</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Base model</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S08</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Draft investment</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AED 5.188M</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AED</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Internal proposal</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COMPANY-REPORTED DATA</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S09</w:t>
            </w:r>
          </w:p>
        </w:tc>
      </w:tr>
      <w:tr>
        <w:trPr>
          <w:cantSplit/>
          <w:cantSplit/>
        </w:trPr>
        <w:tc>
          <w:tcPr>
            <w:tcW w:type="dxa" w:w="2300"/>
            <w:shd w:fill="FFFFFF"/>
            <w:vAlign w:val="top"/>
            <w:tcMar>
              <w:top w:w="90" w:type="dxa"/>
              <w:start w:w="120" w:type="dxa"/>
              <w:bottom w:w="90" w:type="dxa"/>
              <w:end w:w="120" w:type="dxa"/>
            </w:tcMar>
          </w:tcPr>
          <w:p>
            <w:pPr>
              <w:spacing w:after="0"/>
            </w:pPr>
            <w:r>
              <w:rPr>
                <w:rFonts w:ascii="Arial" w:hAnsi="Arial"/>
                <w:b/>
                <w:i w:val="0"/>
                <w:color w:val="111111"/>
                <w:sz w:val="14"/>
              </w:rPr>
              <w:t>Starting fleet</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10 mixers + 2 pumps + 1 pickup</w:t>
            </w:r>
          </w:p>
        </w:tc>
        <w:tc>
          <w:tcPr>
            <w:tcW w:type="dxa" w:w="1100"/>
            <w:shd w:fill="FFFFFF"/>
            <w:vAlign w:val="top"/>
            <w:tcMar>
              <w:top w:w="90" w:type="dxa"/>
              <w:start w:w="120" w:type="dxa"/>
              <w:bottom w:w="90" w:type="dxa"/>
              <w:end w:w="120" w:type="dxa"/>
            </w:tcMar>
          </w:tcPr>
          <w:p>
            <w:pPr>
              <w:spacing w:after="0"/>
            </w:pPr>
            <w:r>
              <w:rPr>
                <w:rFonts w:ascii="Arial" w:hAnsi="Arial"/>
                <w:b w:val="0"/>
                <w:i w:val="0"/>
                <w:color w:val="111111"/>
                <w:sz w:val="14"/>
              </w:rPr>
              <w:t>vehicles/equipment</w:t>
            </w:r>
          </w:p>
        </w:tc>
        <w:tc>
          <w:tcPr>
            <w:tcW w:type="dxa" w:w="1450"/>
            <w:shd w:fill="FFFFFF"/>
            <w:vAlign w:val="top"/>
            <w:tcMar>
              <w:top w:w="90" w:type="dxa"/>
              <w:start w:w="120" w:type="dxa"/>
              <w:bottom w:w="90" w:type="dxa"/>
              <w:end w:w="120" w:type="dxa"/>
            </w:tcMar>
          </w:tcPr>
          <w:p>
            <w:pPr>
              <w:spacing w:after="0"/>
            </w:pPr>
            <w:r>
              <w:rPr>
                <w:rFonts w:ascii="Arial" w:hAnsi="Arial"/>
                <w:b w:val="0"/>
                <w:i w:val="0"/>
                <w:color w:val="111111"/>
                <w:sz w:val="14"/>
              </w:rPr>
              <w:t>Internal proposal</w:t>
            </w:r>
          </w:p>
        </w:tc>
        <w:tc>
          <w:tcPr>
            <w:tcW w:type="dxa" w:w="2300"/>
            <w:shd w:fill="FFFFFF"/>
            <w:vAlign w:val="top"/>
            <w:tcMar>
              <w:top w:w="90" w:type="dxa"/>
              <w:start w:w="120" w:type="dxa"/>
              <w:bottom w:w="90" w:type="dxa"/>
              <w:end w:w="120" w:type="dxa"/>
            </w:tcMar>
          </w:tcPr>
          <w:p>
            <w:pPr>
              <w:spacing w:after="0"/>
            </w:pPr>
            <w:r>
              <w:rPr>
                <w:rFonts w:ascii="Arial" w:hAnsi="Arial"/>
                <w:b w:val="0"/>
                <w:i w:val="0"/>
                <w:color w:val="111111"/>
                <w:sz w:val="14"/>
              </w:rPr>
              <w:t>COMPANY-REPORTED DATA</w:t>
            </w:r>
          </w:p>
        </w:tc>
        <w:tc>
          <w:tcPr>
            <w:tcW w:type="dxa" w:w="1040"/>
            <w:shd w:fill="FFFFFF"/>
            <w:vAlign w:val="top"/>
            <w:tcMar>
              <w:top w:w="90" w:type="dxa"/>
              <w:start w:w="120" w:type="dxa"/>
              <w:bottom w:w="90" w:type="dxa"/>
              <w:end w:w="120" w:type="dxa"/>
            </w:tcMar>
          </w:tcPr>
          <w:p>
            <w:pPr>
              <w:spacing w:after="0"/>
            </w:pPr>
            <w:r>
              <w:rPr>
                <w:rFonts w:ascii="Arial" w:hAnsi="Arial"/>
                <w:b w:val="0"/>
                <w:i w:val="0"/>
                <w:color w:val="111111"/>
                <w:sz w:val="14"/>
              </w:rPr>
              <w:t>S09</w:t>
            </w:r>
          </w:p>
        </w:tc>
      </w:tr>
      <w:tr>
        <w:trPr>
          <w:cantSplit/>
          <w:cantSplit/>
        </w:trPr>
        <w:tc>
          <w:tcPr>
            <w:tcW w:type="dxa" w:w="2300"/>
            <w:shd w:fill="F3F3F3"/>
            <w:vAlign w:val="top"/>
            <w:tcMar>
              <w:top w:w="90" w:type="dxa"/>
              <w:start w:w="120" w:type="dxa"/>
              <w:bottom w:w="90" w:type="dxa"/>
              <w:end w:w="120" w:type="dxa"/>
            </w:tcMar>
          </w:tcPr>
          <w:p>
            <w:pPr>
              <w:spacing w:after="0"/>
            </w:pPr>
            <w:r>
              <w:rPr>
                <w:rFonts w:ascii="Arial" w:hAnsi="Arial"/>
                <w:b/>
                <w:i w:val="0"/>
                <w:color w:val="111111"/>
                <w:sz w:val="14"/>
              </w:rPr>
              <w:t>Capacity/price/margin/staffing</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Conflicting</w:t>
            </w:r>
          </w:p>
        </w:tc>
        <w:tc>
          <w:tcPr>
            <w:tcW w:type="dxa" w:w="1100"/>
            <w:shd w:fill="F3F3F3"/>
            <w:vAlign w:val="top"/>
            <w:tcMar>
              <w:top w:w="90" w:type="dxa"/>
              <w:start w:w="120" w:type="dxa"/>
              <w:bottom w:w="90" w:type="dxa"/>
              <w:end w:w="120" w:type="dxa"/>
            </w:tcMar>
          </w:tcPr>
          <w:p>
            <w:pPr>
              <w:spacing w:after="0"/>
            </w:pPr>
            <w:r>
              <w:rPr>
                <w:rFonts w:ascii="Arial" w:hAnsi="Arial"/>
                <w:b w:val="0"/>
                <w:i w:val="0"/>
                <w:color w:val="111111"/>
                <w:sz w:val="14"/>
              </w:rPr>
              <w:t>n/a</w:t>
            </w:r>
          </w:p>
        </w:tc>
        <w:tc>
          <w:tcPr>
            <w:tcW w:type="dxa" w:w="1450"/>
            <w:shd w:fill="F3F3F3"/>
            <w:vAlign w:val="top"/>
            <w:tcMar>
              <w:top w:w="90" w:type="dxa"/>
              <w:start w:w="120" w:type="dxa"/>
              <w:bottom w:w="90" w:type="dxa"/>
              <w:end w:w="120" w:type="dxa"/>
            </w:tcMar>
          </w:tcPr>
          <w:p>
            <w:pPr>
              <w:spacing w:after="0"/>
            </w:pPr>
            <w:r>
              <w:rPr>
                <w:rFonts w:ascii="Arial" w:hAnsi="Arial"/>
                <w:b w:val="0"/>
                <w:i w:val="0"/>
                <w:color w:val="111111"/>
                <w:sz w:val="14"/>
              </w:rPr>
              <w:t>Internal proposal</w:t>
            </w:r>
          </w:p>
        </w:tc>
        <w:tc>
          <w:tcPr>
            <w:tcW w:type="dxa" w:w="2300"/>
            <w:shd w:fill="F3F3F3"/>
            <w:vAlign w:val="top"/>
            <w:tcMar>
              <w:top w:w="90" w:type="dxa"/>
              <w:start w:w="120" w:type="dxa"/>
              <w:bottom w:w="90" w:type="dxa"/>
              <w:end w:w="120" w:type="dxa"/>
            </w:tcMar>
          </w:tcPr>
          <w:p>
            <w:pPr>
              <w:spacing w:after="0"/>
            </w:pPr>
            <w:r>
              <w:rPr>
                <w:rFonts w:ascii="Arial" w:hAnsi="Arial"/>
                <w:b w:val="0"/>
                <w:i w:val="0"/>
                <w:color w:val="111111"/>
                <w:sz w:val="14"/>
              </w:rPr>
              <w:t>CONFLICTING SOURCE DATA</w:t>
            </w:r>
          </w:p>
        </w:tc>
        <w:tc>
          <w:tcPr>
            <w:tcW w:type="dxa" w:w="1040"/>
            <w:shd w:fill="F3F3F3"/>
            <w:vAlign w:val="top"/>
            <w:tcMar>
              <w:top w:w="90" w:type="dxa"/>
              <w:start w:w="120" w:type="dxa"/>
              <w:bottom w:w="90" w:type="dxa"/>
              <w:end w:w="120" w:type="dxa"/>
            </w:tcMar>
          </w:tcPr>
          <w:p>
            <w:pPr>
              <w:spacing w:after="0"/>
            </w:pPr>
            <w:r>
              <w:rPr>
                <w:rFonts w:ascii="Arial" w:hAnsi="Arial"/>
                <w:b w:val="0"/>
                <w:i w:val="0"/>
                <w:color w:val="111111"/>
                <w:sz w:val="14"/>
              </w:rPr>
              <w:t>S09</w:t>
            </w:r>
          </w:p>
        </w:tc>
      </w:tr>
    </w:tbl>
    <w:p>
      <w:pPr>
        <w:spacing w:after="40"/>
      </w:pPr>
    </w:p>
    <w:p>
      <w:pPr>
        <w:keepNext w:val="0"/>
        <w:spacing w:after="120"/>
      </w:pPr>
      <w:r>
        <w:rPr>
          <w:rFonts w:ascii="Arial" w:hAnsi="Arial"/>
          <w:b w:val="0"/>
          <w:i/>
          <w:color w:val="555555"/>
          <w:sz w:val="17"/>
        </w:rPr>
        <w:t>All model outputs remain conditional on the underlying transaction, quotation or operating assumptions. No modelled return is a guaranteed result.</w:t>
      </w:r>
    </w:p>
    <w:p>
      <w:pPr>
        <w:pStyle w:val="Heading2"/>
      </w:pPr>
      <w:r>
        <w:t>Revenue drivers</w:t>
      </w:r>
    </w:p>
    <w:p>
      <w:pPr>
        <w:pStyle w:val="ListBullet"/>
      </w:pPr>
      <w:r>
        <w:t>Base asphalt model volume: 25,000 tonnes/month.</w:t>
      </w:r>
    </w:p>
    <w:p>
      <w:pPr>
        <w:pStyle w:val="ListBullet"/>
      </w:pPr>
      <w:r>
        <w:t>Base model selling price: AED235/tonne.</w:t>
      </w:r>
    </w:p>
    <w:p>
      <w:pPr>
        <w:pStyle w:val="ListBullet"/>
      </w:pPr>
      <w:r>
        <w:t>AED70.5M annualised sales in the 25,000 t/month at AED235/t model.</w:t>
      </w:r>
    </w:p>
    <w:p>
      <w:pPr>
        <w:pStyle w:val="ListBullet"/>
      </w:pPr>
      <w:r>
        <w:t>Concrete volume, price, margin and staffing figures remain unresolved.</w:t>
      </w:r>
    </w:p>
    <w:p>
      <w:pPr>
        <w:pStyle w:val="Heading2"/>
      </w:pPr>
      <w:r>
        <w:t>Cost and return limitations</w:t>
      </w:r>
    </w:p>
    <w:p>
      <w:pPr>
        <w:pStyle w:val="ListBullet"/>
      </w:pPr>
      <w:r>
        <w:t>Not all-in: land, finance, working capital and other items remain incomplete.</w:t>
      </w:r>
    </w:p>
    <w:p>
      <w:pPr>
        <w:pStyle w:val="ListBullet"/>
      </w:pPr>
      <w:r>
        <w:t>No anchor offtake yet.</w:t>
      </w:r>
    </w:p>
    <w:p>
      <w:pPr>
        <w:pStyle w:val="ListBullet"/>
      </w:pPr>
      <w:r>
        <w:t>Requires live market quotes.</w:t>
      </w:r>
    </w:p>
    <w:p>
      <w:pPr>
        <w:pStyle w:val="ListBullet"/>
      </w:pPr>
      <w:r>
        <w:t>AED192 cost plus AED45 equals AED237, above AED235 selling price.</w:t>
      </w:r>
    </w:p>
    <w:p>
      <w:pPr>
        <w:pStyle w:val="ListBullet"/>
      </w:pPr>
      <w:r>
        <w:t>10,400/13,000/14,300 m3; AED400/420; AED23.50/43; 32/33 staff.</w:t>
      </w:r>
    </w:p>
    <w:p>
      <w:r>
        <w:br w:type="page"/>
      </w:r>
    </w:p>
    <w:p>
      <w:pPr>
        <w:pStyle w:val="Heading1"/>
      </w:pPr>
      <w:r>
        <w:t>Operating requirements</w:t>
      </w:r>
    </w:p>
    <w:p>
      <w:pPr>
        <w:pStyle w:val="ListBullet"/>
      </w:pPr>
      <w:r>
        <w:t>Land, utilities and environmental route</w:t>
      </w:r>
    </w:p>
    <w:p>
      <w:pPr>
        <w:pStyle w:val="ListBullet"/>
      </w:pPr>
      <w:r>
        <w:t>Plant and fleet quotation</w:t>
      </w:r>
    </w:p>
    <w:p>
      <w:pPr>
        <w:pStyle w:val="ListBullet"/>
      </w:pPr>
      <w:r>
        <w:t>Bitumen, aggregate and concrete supplier contracts</w:t>
      </w:r>
    </w:p>
    <w:p>
      <w:pPr>
        <w:pStyle w:val="ListBullet"/>
      </w:pPr>
      <w:r>
        <w:t>Quality control, dispatch and working-capital management</w:t>
      </w:r>
    </w:p>
    <w:p>
      <w:pPr>
        <w:pStyle w:val="Heading1"/>
      </w:pPr>
      <w:r>
        <w:t>Regulation and licensing</w:t>
      </w:r>
    </w:p>
    <w:p>
      <w:pPr>
        <w:keepNext w:val="0"/>
        <w:spacing w:after="120"/>
      </w:pPr>
      <w:r>
        <w:rPr>
          <w:rFonts w:ascii="Arial" w:hAnsi="Arial"/>
          <w:b w:val="0"/>
          <w:i w:val="0"/>
          <w:color w:val="111111"/>
          <w:sz w:val="20"/>
        </w:rPr>
        <w:t>Plant, environmental, transport, safety and product-quality requirements must be confirmed for each division and location.</w:t>
      </w:r>
    </w:p>
    <w:p>
      <w:pPr>
        <w:pStyle w:val="Heading1"/>
      </w:pPr>
      <w:r>
        <w:t>Risk register</w:t>
      </w:r>
    </w:p>
    <w:tbl>
      <w:tblPr>
        <w:tblStyle w:val="TableGrid"/>
        <w:tblW w:type="dxa" w:w="9640"/>
        <w:tblLayout w:type="fixed"/>
        <w:tblLook w:firstColumn="1" w:firstRow="1" w:lastColumn="0" w:lastRow="0" w:noHBand="0" w:noVBand="1" w:val="04A0"/>
        <w:jc w:val="left"/>
        <w:tblInd w:w="0" w:type="dxa"/>
      </w:tblPr>
      <w:tblGrid>
        <w:gridCol w:w="700"/>
        <w:gridCol w:w="3600"/>
        <w:gridCol w:w="1700"/>
        <w:gridCol w:w="3640"/>
      </w:tblGrid>
      <w:tr>
        <w:trPr>
          <w:cantSplit/>
          <w:tblHeader w:val="true"/>
          <w:cantSplit/>
        </w:trPr>
        <w:tc>
          <w:tcPr>
            <w:tcW w:type="dxa" w:w="700"/>
            <w:tcMar>
              <w:top w:w="90" w:type="dxa"/>
              <w:start w:w="120" w:type="dxa"/>
              <w:bottom w:w="90" w:type="dxa"/>
              <w:end w:w="120" w:type="dxa"/>
            </w:tcMar>
            <w:shd w:fill="111111"/>
            <w:vAlign w:val="center"/>
          </w:tcPr>
          <w:p>
            <w:pPr>
              <w:spacing w:after="0"/>
            </w:pPr>
            <w:r>
              <w:rPr>
                <w:rFonts w:ascii="Arial" w:hAnsi="Arial"/>
                <w:b/>
                <w:i w:val="0"/>
                <w:color w:val="FFFFFF"/>
                <w:sz w:val="16"/>
              </w:rPr>
              <w:t>ID</w:t>
            </w:r>
          </w:p>
        </w:tc>
        <w:tc>
          <w:tcPr>
            <w:tcW w:type="dxa" w:w="3600"/>
            <w:tcMar>
              <w:top w:w="90" w:type="dxa"/>
              <w:start w:w="120" w:type="dxa"/>
              <w:bottom w:w="90" w:type="dxa"/>
              <w:end w:w="120" w:type="dxa"/>
            </w:tcMar>
            <w:shd w:fill="111111"/>
            <w:vAlign w:val="center"/>
          </w:tcPr>
          <w:p>
            <w:pPr>
              <w:spacing w:after="0"/>
            </w:pPr>
            <w:r>
              <w:rPr>
                <w:rFonts w:ascii="Arial" w:hAnsi="Arial"/>
                <w:b/>
                <w:i w:val="0"/>
                <w:color w:val="FFFFFF"/>
                <w:sz w:val="16"/>
              </w:rPr>
              <w:t>RISK</w:t>
            </w:r>
          </w:p>
        </w:tc>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6"/>
              </w:rPr>
              <w:t>CURRENT LEVEL</w:t>
            </w:r>
          </w:p>
        </w:tc>
        <w:tc>
          <w:tcPr>
            <w:tcW w:type="dxa" w:w="3640"/>
            <w:tcMar>
              <w:top w:w="90" w:type="dxa"/>
              <w:start w:w="120" w:type="dxa"/>
              <w:bottom w:w="90" w:type="dxa"/>
              <w:end w:w="120" w:type="dxa"/>
            </w:tcMar>
            <w:shd w:fill="111111"/>
            <w:vAlign w:val="center"/>
          </w:tcPr>
          <w:p>
            <w:pPr>
              <w:spacing w:after="0"/>
            </w:pPr>
            <w:r>
              <w:rPr>
                <w:rFonts w:ascii="Arial" w:hAnsi="Arial"/>
                <w:b/>
                <w:i w:val="0"/>
                <w:color w:val="FFFFFF"/>
                <w:sz w:val="16"/>
              </w:rPr>
              <w:t>CONTROL</w:t>
            </w:r>
          </w:p>
        </w:tc>
      </w:tr>
      <w:tr>
        <w:trPr>
          <w:cantSplit/>
          <w:cantSplit/>
        </w:trPr>
        <w:tc>
          <w:tcPr>
            <w:tcW w:type="dxa" w:w="700"/>
            <w:shd w:fill="F3F3F3"/>
            <w:vAlign w:val="top"/>
            <w:tcMar>
              <w:top w:w="90" w:type="dxa"/>
              <w:start w:w="120" w:type="dxa"/>
              <w:bottom w:w="90" w:type="dxa"/>
              <w:end w:w="120" w:type="dxa"/>
            </w:tcMar>
          </w:tcPr>
          <w:p>
            <w:pPr>
              <w:spacing w:after="0"/>
            </w:pPr>
            <w:r>
              <w:rPr>
                <w:rFonts w:ascii="Arial" w:hAnsi="Arial"/>
                <w:b/>
                <w:i w:val="0"/>
                <w:color w:val="111111"/>
                <w:sz w:val="16"/>
              </w:rPr>
              <w:t>R01</w:t>
            </w:r>
          </w:p>
        </w:tc>
        <w:tc>
          <w:tcPr>
            <w:tcW w:type="dxa" w:w="3600"/>
            <w:shd w:fill="F3F3F3"/>
            <w:vAlign w:val="top"/>
            <w:tcMar>
              <w:top w:w="90" w:type="dxa"/>
              <w:start w:w="120" w:type="dxa"/>
              <w:bottom w:w="90" w:type="dxa"/>
              <w:end w:w="120" w:type="dxa"/>
            </w:tcMar>
          </w:tcPr>
          <w:p>
            <w:pPr>
              <w:spacing w:after="0"/>
            </w:pPr>
            <w:r>
              <w:rPr>
                <w:rFonts w:ascii="Arial" w:hAnsi="Arial"/>
                <w:b w:val="0"/>
                <w:i w:val="0"/>
                <w:color w:val="111111"/>
                <w:sz w:val="16"/>
              </w:rPr>
              <w:t>Unreconciled margin assumptions</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3F3F3"/>
            <w:vAlign w:val="top"/>
            <w:tcMar>
              <w:top w:w="90" w:type="dxa"/>
              <w:start w:w="120" w:type="dxa"/>
              <w:bottom w:w="90" w:type="dxa"/>
              <w:end w:w="120" w:type="dxa"/>
            </w:tcMar>
          </w:tcPr>
          <w:p>
            <w:pPr>
              <w:spacing w:after="0"/>
            </w:pPr>
            <w:r>
              <w:rPr>
                <w:rFonts w:ascii="Arial" w:hAnsi="Arial"/>
                <w:b w:val="0"/>
                <w:i w:val="0"/>
                <w:color w:val="111111"/>
                <w:sz w:val="16"/>
              </w:rPr>
              <w:t>Hold commitment until the decision gate is evidenced.</w:t>
            </w:r>
          </w:p>
        </w:tc>
      </w:tr>
      <w:tr>
        <w:trPr>
          <w:cantSplit/>
          <w:cantSplit/>
        </w:trPr>
        <w:tc>
          <w:tcPr>
            <w:tcW w:type="dxa" w:w="700"/>
            <w:shd w:fill="FFFFFF"/>
            <w:vAlign w:val="top"/>
            <w:tcMar>
              <w:top w:w="90" w:type="dxa"/>
              <w:start w:w="120" w:type="dxa"/>
              <w:bottom w:w="90" w:type="dxa"/>
              <w:end w:w="120" w:type="dxa"/>
            </w:tcMar>
          </w:tcPr>
          <w:p>
            <w:pPr>
              <w:spacing w:after="0"/>
            </w:pPr>
            <w:r>
              <w:rPr>
                <w:rFonts w:ascii="Arial" w:hAnsi="Arial"/>
                <w:b/>
                <w:i w:val="0"/>
                <w:color w:val="111111"/>
                <w:sz w:val="16"/>
              </w:rPr>
              <w:t>R02</w:t>
            </w:r>
          </w:p>
        </w:tc>
        <w:tc>
          <w:tcPr>
            <w:tcW w:type="dxa" w:w="3600"/>
            <w:shd w:fill="FFFFFF"/>
            <w:vAlign w:val="top"/>
            <w:tcMar>
              <w:top w:w="90" w:type="dxa"/>
              <w:start w:w="120" w:type="dxa"/>
              <w:bottom w:w="90" w:type="dxa"/>
              <w:end w:w="120" w:type="dxa"/>
            </w:tcMar>
          </w:tcPr>
          <w:p>
            <w:pPr>
              <w:spacing w:after="0"/>
            </w:pPr>
            <w:r>
              <w:rPr>
                <w:rFonts w:ascii="Arial" w:hAnsi="Arial"/>
                <w:b w:val="0"/>
                <w:i w:val="0"/>
                <w:color w:val="111111"/>
                <w:sz w:val="16"/>
              </w:rPr>
              <w:t>Plant or fleet underutilisation</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FFFFF"/>
            <w:vAlign w:val="top"/>
            <w:tcMar>
              <w:top w:w="90" w:type="dxa"/>
              <w:start w:w="120" w:type="dxa"/>
              <w:bottom w:w="90" w:type="dxa"/>
              <w:end w:w="120" w:type="dxa"/>
            </w:tcMar>
          </w:tcPr>
          <w:p>
            <w:pPr>
              <w:spacing w:after="0"/>
            </w:pPr>
            <w:r>
              <w:rPr>
                <w:rFonts w:ascii="Arial" w:hAnsi="Arial"/>
                <w:b w:val="0"/>
                <w:i w:val="0"/>
                <w:color w:val="111111"/>
                <w:sz w:val="16"/>
              </w:rPr>
              <w:t>Use separate models and approval thresholds.</w:t>
            </w:r>
          </w:p>
        </w:tc>
      </w:tr>
      <w:tr>
        <w:trPr>
          <w:cantSplit/>
          <w:cantSplit/>
        </w:trPr>
        <w:tc>
          <w:tcPr>
            <w:tcW w:type="dxa" w:w="700"/>
            <w:shd w:fill="F3F3F3"/>
            <w:vAlign w:val="top"/>
            <w:tcMar>
              <w:top w:w="90" w:type="dxa"/>
              <w:start w:w="120" w:type="dxa"/>
              <w:bottom w:w="90" w:type="dxa"/>
              <w:end w:w="120" w:type="dxa"/>
            </w:tcMar>
          </w:tcPr>
          <w:p>
            <w:pPr>
              <w:spacing w:after="0"/>
            </w:pPr>
            <w:r>
              <w:rPr>
                <w:rFonts w:ascii="Arial" w:hAnsi="Arial"/>
                <w:b/>
                <w:i w:val="0"/>
                <w:color w:val="111111"/>
                <w:sz w:val="16"/>
              </w:rPr>
              <w:t>R03</w:t>
            </w:r>
          </w:p>
        </w:tc>
        <w:tc>
          <w:tcPr>
            <w:tcW w:type="dxa" w:w="3600"/>
            <w:shd w:fill="F3F3F3"/>
            <w:vAlign w:val="top"/>
            <w:tcMar>
              <w:top w:w="90" w:type="dxa"/>
              <w:start w:w="120" w:type="dxa"/>
              <w:bottom w:w="90" w:type="dxa"/>
              <w:end w:w="120" w:type="dxa"/>
            </w:tcMar>
          </w:tcPr>
          <w:p>
            <w:pPr>
              <w:spacing w:after="0"/>
            </w:pPr>
            <w:r>
              <w:rPr>
                <w:rFonts w:ascii="Arial" w:hAnsi="Arial"/>
                <w:b w:val="0"/>
                <w:i w:val="0"/>
                <w:color w:val="111111"/>
                <w:sz w:val="16"/>
              </w:rPr>
              <w:t>Input-price volatility</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3F3F3"/>
            <w:vAlign w:val="top"/>
            <w:tcMar>
              <w:top w:w="90" w:type="dxa"/>
              <w:start w:w="120" w:type="dxa"/>
              <w:bottom w:w="90" w:type="dxa"/>
              <w:end w:w="120" w:type="dxa"/>
            </w:tcMar>
          </w:tcPr>
          <w:p>
            <w:pPr>
              <w:spacing w:after="0"/>
            </w:pPr>
            <w:r>
              <w:rPr>
                <w:rFonts w:ascii="Arial" w:hAnsi="Arial"/>
                <w:b w:val="0"/>
                <w:i w:val="0"/>
                <w:color w:val="111111"/>
                <w:sz w:val="16"/>
              </w:rPr>
              <w:t>Obtain written quotations, contracts and technical review.</w:t>
            </w:r>
          </w:p>
        </w:tc>
      </w:tr>
      <w:tr>
        <w:trPr>
          <w:cantSplit/>
          <w:cantSplit/>
        </w:trPr>
        <w:tc>
          <w:tcPr>
            <w:tcW w:type="dxa" w:w="700"/>
            <w:shd w:fill="FFFFFF"/>
            <w:vAlign w:val="top"/>
            <w:tcMar>
              <w:top w:w="90" w:type="dxa"/>
              <w:start w:w="120" w:type="dxa"/>
              <w:bottom w:w="90" w:type="dxa"/>
              <w:end w:w="120" w:type="dxa"/>
            </w:tcMar>
          </w:tcPr>
          <w:p>
            <w:pPr>
              <w:spacing w:after="0"/>
            </w:pPr>
            <w:r>
              <w:rPr>
                <w:rFonts w:ascii="Arial" w:hAnsi="Arial"/>
                <w:b/>
                <w:i w:val="0"/>
                <w:color w:val="111111"/>
                <w:sz w:val="16"/>
              </w:rPr>
              <w:t>R04</w:t>
            </w:r>
          </w:p>
        </w:tc>
        <w:tc>
          <w:tcPr>
            <w:tcW w:type="dxa" w:w="3600"/>
            <w:shd w:fill="FFFFFF"/>
            <w:vAlign w:val="top"/>
            <w:tcMar>
              <w:top w:w="90" w:type="dxa"/>
              <w:start w:w="120" w:type="dxa"/>
              <w:bottom w:w="90" w:type="dxa"/>
              <w:end w:w="120" w:type="dxa"/>
            </w:tcMar>
          </w:tcPr>
          <w:p>
            <w:pPr>
              <w:spacing w:after="0"/>
            </w:pPr>
            <w:r>
              <w:rPr>
                <w:rFonts w:ascii="Arial" w:hAnsi="Arial"/>
                <w:b w:val="0"/>
                <w:i w:val="0"/>
                <w:color w:val="111111"/>
                <w:sz w:val="16"/>
              </w:rPr>
              <w:t>Customer concentration and delayed payment</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6"/>
              </w:rPr>
              <w:t>High until evidenced</w:t>
            </w:r>
          </w:p>
        </w:tc>
        <w:tc>
          <w:tcPr>
            <w:tcW w:type="dxa" w:w="3640"/>
            <w:shd w:fill="FFFFFF"/>
            <w:vAlign w:val="top"/>
            <w:tcMar>
              <w:top w:w="90" w:type="dxa"/>
              <w:start w:w="120" w:type="dxa"/>
              <w:bottom w:w="90" w:type="dxa"/>
              <w:end w:w="120" w:type="dxa"/>
            </w:tcMar>
          </w:tcPr>
          <w:p>
            <w:pPr>
              <w:spacing w:after="0"/>
            </w:pPr>
            <w:r>
              <w:rPr>
                <w:rFonts w:ascii="Arial" w:hAnsi="Arial"/>
                <w:b w:val="0"/>
                <w:i w:val="0"/>
                <w:color w:val="111111"/>
                <w:sz w:val="16"/>
              </w:rPr>
              <w:t>Run legal, operating and counterparty diligence before scale.</w:t>
            </w:r>
          </w:p>
        </w:tc>
      </w:tr>
    </w:tbl>
    <w:p>
      <w:pPr>
        <w:spacing w:after="40"/>
      </w:pPr>
    </w:p>
    <w:p>
      <w:pPr>
        <w:pStyle w:val="Heading1"/>
      </w:pPr>
      <w:r>
        <w:t>Recommendation</w:t>
      </w:r>
    </w:p>
    <w:p>
      <w:pPr>
        <w:keepNext w:val="0"/>
        <w:spacing w:after="160"/>
      </w:pPr>
      <w:r>
        <w:rPr>
          <w:rFonts w:ascii="Arial" w:hAnsi="Arial"/>
          <w:b/>
          <w:i w:val="0"/>
          <w:color w:val="111111"/>
          <w:sz w:val="32"/>
        </w:rPr>
        <w:t>CONDITIONAL GO - feasibility only</w:t>
      </w:r>
    </w:p>
    <w:p>
      <w:pPr>
        <w:keepNext w:val="0"/>
        <w:spacing w:after="120"/>
      </w:pPr>
      <w:r>
        <w:rPr>
          <w:rFonts w:ascii="Arial" w:hAnsi="Arial"/>
          <w:b w:val="0"/>
          <w:i w:val="0"/>
          <w:color w:val="111111"/>
          <w:sz w:val="20"/>
        </w:rPr>
        <w:t>Keep asphalt/RAP and asset-light concrete delivery as separate operating divisions with separate models and shared sponsor capabilities.</w:t>
      </w:r>
    </w:p>
    <w:p>
      <w:pPr>
        <w:keepNext w:val="0"/>
        <w:spacing w:after="120"/>
      </w:pPr>
      <w:r>
        <w:rPr>
          <w:rFonts w:ascii="Arial" w:hAnsi="Arial"/>
          <w:b/>
          <w:i w:val="0"/>
          <w:color w:val="111111"/>
          <w:sz w:val="20"/>
        </w:rPr>
        <w:t>Condition before commitment: No capital approval until plant/fleet quotations, land/utilities, raw materials, customer offtake, working capital and the concrete arithmetic are reconciled.</w:t>
      </w:r>
    </w:p>
    <w:p>
      <w:r>
        <w:br w:type="page"/>
      </w:r>
    </w:p>
    <w:p>
      <w:pPr>
        <w:pStyle w:val="Heading1"/>
      </w:pPr>
      <w:r>
        <w:t>Missing information and due diligence</w:t>
      </w:r>
    </w:p>
    <w:tbl>
      <w:tblPr>
        <w:tblStyle w:val="TableGrid"/>
        <w:tblW w:type="dxa" w:w="9640"/>
        <w:tblLayout w:type="fixed"/>
        <w:tblLook w:firstColumn="1" w:firstRow="1" w:lastColumn="0" w:lastRow="0" w:noHBand="0" w:noVBand="1" w:val="04A0"/>
        <w:jc w:val="left"/>
        <w:tblInd w:w="0" w:type="dxa"/>
      </w:tblPr>
      <w:tblGrid>
        <w:gridCol w:w="3400"/>
        <w:gridCol w:w="2200"/>
        <w:gridCol w:w="1700"/>
        <w:gridCol w:w="2340"/>
      </w:tblGrid>
      <w:tr>
        <w:trPr>
          <w:cantSplit/>
          <w:tblHeader w:val="true"/>
          <w:cantSplit/>
        </w:trPr>
        <w:tc>
          <w:tcPr>
            <w:tcW w:type="dxa" w:w="3400"/>
            <w:tcMar>
              <w:top w:w="90" w:type="dxa"/>
              <w:start w:w="120" w:type="dxa"/>
              <w:bottom w:w="90" w:type="dxa"/>
              <w:end w:w="120" w:type="dxa"/>
            </w:tcMar>
            <w:shd w:fill="111111"/>
            <w:vAlign w:val="center"/>
          </w:tcPr>
          <w:p>
            <w:pPr>
              <w:spacing w:after="0"/>
            </w:pPr>
            <w:r>
              <w:rPr>
                <w:rFonts w:ascii="Arial" w:hAnsi="Arial"/>
                <w:b/>
                <w:i w:val="0"/>
                <w:color w:val="FFFFFF"/>
                <w:sz w:val="15"/>
              </w:rPr>
              <w:t>DOCUMENT</w:t>
            </w:r>
          </w:p>
        </w:tc>
        <w:tc>
          <w:tcPr>
            <w:tcW w:type="dxa" w:w="2200"/>
            <w:tcMar>
              <w:top w:w="90" w:type="dxa"/>
              <w:start w:w="120" w:type="dxa"/>
              <w:bottom w:w="90" w:type="dxa"/>
              <w:end w:w="120" w:type="dxa"/>
            </w:tcMar>
            <w:shd w:fill="111111"/>
            <w:vAlign w:val="center"/>
          </w:tcPr>
          <w:p>
            <w:pPr>
              <w:spacing w:after="0"/>
            </w:pPr>
            <w:r>
              <w:rPr>
                <w:rFonts w:ascii="Arial" w:hAnsi="Arial"/>
                <w:b/>
                <w:i w:val="0"/>
                <w:color w:val="FFFFFF"/>
                <w:sz w:val="15"/>
              </w:rPr>
              <w:t>STATUS</w:t>
            </w:r>
          </w:p>
        </w:tc>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5"/>
              </w:rPr>
              <w:t>LAYER</w:t>
            </w:r>
          </w:p>
        </w:tc>
        <w:tc>
          <w:tcPr>
            <w:tcW w:type="dxa" w:w="2340"/>
            <w:tcMar>
              <w:top w:w="90" w:type="dxa"/>
              <w:start w:w="120" w:type="dxa"/>
              <w:bottom w:w="90" w:type="dxa"/>
              <w:end w:w="120" w:type="dxa"/>
            </w:tcMar>
            <w:shd w:fill="111111"/>
            <w:vAlign w:val="center"/>
          </w:tcPr>
          <w:p>
            <w:pPr>
              <w:spacing w:after="0"/>
            </w:pPr>
            <w:r>
              <w:rPr>
                <w:rFonts w:ascii="Arial" w:hAnsi="Arial"/>
                <w:b/>
                <w:i w:val="0"/>
                <w:color w:val="FFFFFF"/>
                <w:sz w:val="15"/>
              </w:rPr>
              <w:t>REQUIRED ACTION</w:t>
            </w:r>
          </w:p>
        </w:tc>
      </w:tr>
      <w:tr>
        <w:trPr>
          <w:cantSplit/>
          <w:cantSplit/>
        </w:trPr>
        <w:tc>
          <w:tcPr>
            <w:tcW w:type="dxa" w:w="3400"/>
            <w:shd w:fill="F3F3F3"/>
            <w:vAlign w:val="top"/>
            <w:tcMar>
              <w:top w:w="90" w:type="dxa"/>
              <w:start w:w="120" w:type="dxa"/>
              <w:bottom w:w="90" w:type="dxa"/>
              <w:end w:w="120" w:type="dxa"/>
            </w:tcMar>
          </w:tcPr>
          <w:p>
            <w:pPr>
              <w:spacing w:after="0"/>
            </w:pPr>
            <w:r>
              <w:rPr>
                <w:rFonts w:ascii="Arial" w:hAnsi="Arial"/>
                <w:b/>
                <w:i w:val="0"/>
                <w:color w:val="111111"/>
                <w:sz w:val="15"/>
              </w:rPr>
              <w:t>Asphalt/RAP and Ready-Mix Research</w:t>
            </w:r>
          </w:p>
        </w:tc>
        <w:tc>
          <w:tcPr>
            <w:tcW w:type="dxa" w:w="2200"/>
            <w:shd w:fill="F3F3F3"/>
            <w:vAlign w:val="top"/>
            <w:tcMar>
              <w:top w:w="90" w:type="dxa"/>
              <w:start w:w="120" w:type="dxa"/>
              <w:bottom w:w="90" w:type="dxa"/>
              <w:end w:w="120" w:type="dxa"/>
            </w:tcMar>
          </w:tcPr>
          <w:p>
            <w:pPr>
              <w:spacing w:after="0"/>
            </w:pPr>
            <w:r>
              <w:rPr>
                <w:rFonts w:ascii="Arial" w:hAnsi="Arial"/>
                <w:b w:val="0"/>
                <w:i w:val="0"/>
                <w:color w:val="111111"/>
                <w:sz w:val="15"/>
              </w:rPr>
              <w:t>Available</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5"/>
              </w:rPr>
              <w:t>Source</w:t>
            </w:r>
          </w:p>
        </w:tc>
        <w:tc>
          <w:tcPr>
            <w:tcW w:type="dxa" w:w="2340"/>
            <w:shd w:fill="F3F3F3"/>
            <w:vAlign w:val="top"/>
            <w:tcMar>
              <w:top w:w="90" w:type="dxa"/>
              <w:start w:w="120" w:type="dxa"/>
              <w:bottom w:w="90" w:type="dxa"/>
              <w:end w:w="120" w:type="dxa"/>
            </w:tcMar>
          </w:tcPr>
          <w:p>
            <w:pPr>
              <w:spacing w:after="0"/>
            </w:pPr>
            <w:r>
              <w:rPr>
                <w:rFonts w:ascii="Arial" w:hAnsi="Arial"/>
                <w:b w:val="0"/>
                <w:i w:val="0"/>
                <w:color w:val="111111"/>
                <w:sz w:val="15"/>
              </w:rPr>
              <w:t>Retain</w:t>
            </w:r>
          </w:p>
        </w:tc>
      </w:tr>
      <w:tr>
        <w:trPr>
          <w:cantSplit/>
          <w:cantSplit/>
        </w:trPr>
        <w:tc>
          <w:tcPr>
            <w:tcW w:type="dxa" w:w="3400"/>
            <w:shd w:fill="FFFFFF"/>
            <w:vAlign w:val="top"/>
            <w:tcMar>
              <w:top w:w="90" w:type="dxa"/>
              <w:start w:w="120" w:type="dxa"/>
              <w:bottom w:w="90" w:type="dxa"/>
              <w:end w:w="120" w:type="dxa"/>
            </w:tcMar>
          </w:tcPr>
          <w:p>
            <w:pPr>
              <w:spacing w:after="0"/>
            </w:pPr>
            <w:r>
              <w:rPr>
                <w:rFonts w:ascii="Arial" w:hAnsi="Arial"/>
                <w:b/>
                <w:i w:val="0"/>
                <w:color w:val="111111"/>
                <w:sz w:val="15"/>
              </w:rPr>
              <w:t>Combined Platform Report</w:t>
            </w:r>
          </w:p>
        </w:tc>
        <w:tc>
          <w:tcPr>
            <w:tcW w:type="dxa" w:w="2200"/>
            <w:shd w:fill="FFFFFF"/>
            <w:vAlign w:val="top"/>
            <w:tcMar>
              <w:top w:w="90" w:type="dxa"/>
              <w:start w:w="120" w:type="dxa"/>
              <w:bottom w:w="90" w:type="dxa"/>
              <w:end w:w="120" w:type="dxa"/>
            </w:tcMar>
          </w:tcPr>
          <w:p>
            <w:pPr>
              <w:spacing w:after="0"/>
            </w:pPr>
            <w:r>
              <w:rPr>
                <w:rFonts w:ascii="Arial" w:hAnsi="Arial"/>
                <w:b w:val="0"/>
                <w:i w:val="0"/>
                <w:color w:val="111111"/>
                <w:sz w:val="15"/>
              </w:rPr>
              <w:t>Pending</w:t>
            </w:r>
          </w:p>
        </w:tc>
        <w:tc>
          <w:tcPr>
            <w:tcW w:type="dxa" w:w="1700"/>
            <w:shd w:fill="FFFFFF"/>
            <w:vAlign w:val="top"/>
            <w:tcMar>
              <w:top w:w="90" w:type="dxa"/>
              <w:start w:w="120" w:type="dxa"/>
              <w:bottom w:w="90" w:type="dxa"/>
              <w:end w:w="120" w:type="dxa"/>
            </w:tcMar>
          </w:tcPr>
          <w:p>
            <w:pPr>
              <w:spacing w:after="0"/>
            </w:pPr>
            <w:r>
              <w:rPr>
                <w:rFonts w:ascii="Arial" w:hAnsi="Arial"/>
                <w:b w:val="0"/>
                <w:i w:val="0"/>
                <w:color w:val="111111"/>
                <w:sz w:val="15"/>
              </w:rPr>
              <w:t>Phase 2</w:t>
            </w:r>
          </w:p>
        </w:tc>
        <w:tc>
          <w:tcPr>
            <w:tcW w:type="dxa" w:w="2340"/>
            <w:shd w:fill="FFFFFF"/>
            <w:vAlign w:val="top"/>
            <w:tcMar>
              <w:top w:w="90" w:type="dxa"/>
              <w:start w:w="120" w:type="dxa"/>
              <w:bottom w:w="90" w:type="dxa"/>
              <w:end w:w="120" w:type="dxa"/>
            </w:tcMar>
          </w:tcPr>
          <w:p>
            <w:pPr>
              <w:spacing w:after="0"/>
            </w:pPr>
            <w:r>
              <w:rPr>
                <w:rFonts w:ascii="Arial" w:hAnsi="Arial"/>
                <w:b w:val="0"/>
                <w:i w:val="0"/>
                <w:color w:val="111111"/>
                <w:sz w:val="15"/>
              </w:rPr>
              <w:t>Create</w:t>
            </w:r>
          </w:p>
        </w:tc>
      </w:tr>
      <w:tr>
        <w:trPr>
          <w:cantSplit/>
          <w:cantSplit/>
        </w:trPr>
        <w:tc>
          <w:tcPr>
            <w:tcW w:type="dxa" w:w="3400"/>
            <w:shd w:fill="F3F3F3"/>
            <w:vAlign w:val="top"/>
            <w:tcMar>
              <w:top w:w="90" w:type="dxa"/>
              <w:start w:w="120" w:type="dxa"/>
              <w:bottom w:w="90" w:type="dxa"/>
              <w:end w:w="120" w:type="dxa"/>
            </w:tcMar>
          </w:tcPr>
          <w:p>
            <w:pPr>
              <w:spacing w:after="0"/>
            </w:pPr>
            <w:r>
              <w:rPr>
                <w:rFonts w:ascii="Arial" w:hAnsi="Arial"/>
                <w:b/>
                <w:i w:val="0"/>
                <w:color w:val="111111"/>
                <w:sz w:val="15"/>
              </w:rPr>
              <w:t>Reconciled Concrete Financial Model</w:t>
            </w:r>
          </w:p>
        </w:tc>
        <w:tc>
          <w:tcPr>
            <w:tcW w:type="dxa" w:w="2200"/>
            <w:shd w:fill="F3F3F3"/>
            <w:vAlign w:val="top"/>
            <w:tcMar>
              <w:top w:w="90" w:type="dxa"/>
              <w:start w:w="120" w:type="dxa"/>
              <w:bottom w:w="90" w:type="dxa"/>
              <w:end w:w="120" w:type="dxa"/>
            </w:tcMar>
          </w:tcPr>
          <w:p>
            <w:pPr>
              <w:spacing w:after="0"/>
            </w:pPr>
            <w:r>
              <w:rPr>
                <w:rFonts w:ascii="Arial" w:hAnsi="Arial"/>
                <w:b w:val="0"/>
                <w:i w:val="0"/>
                <w:color w:val="111111"/>
                <w:sz w:val="15"/>
              </w:rPr>
              <w:t>Blocked by conflicting inputs</w:t>
            </w:r>
          </w:p>
        </w:tc>
        <w:tc>
          <w:tcPr>
            <w:tcW w:type="dxa" w:w="1700"/>
            <w:shd w:fill="F3F3F3"/>
            <w:vAlign w:val="top"/>
            <w:tcMar>
              <w:top w:w="90" w:type="dxa"/>
              <w:start w:w="120" w:type="dxa"/>
              <w:bottom w:w="90" w:type="dxa"/>
              <w:end w:w="120" w:type="dxa"/>
            </w:tcMar>
          </w:tcPr>
          <w:p>
            <w:pPr>
              <w:spacing w:after="0"/>
            </w:pPr>
            <w:r>
              <w:rPr>
                <w:rFonts w:ascii="Arial" w:hAnsi="Arial"/>
                <w:b w:val="0"/>
                <w:i w:val="0"/>
                <w:color w:val="111111"/>
                <w:sz w:val="15"/>
              </w:rPr>
              <w:t>Commercial evidence</w:t>
            </w:r>
          </w:p>
        </w:tc>
        <w:tc>
          <w:tcPr>
            <w:tcW w:type="dxa" w:w="2340"/>
            <w:shd w:fill="F3F3F3"/>
            <w:vAlign w:val="top"/>
            <w:tcMar>
              <w:top w:w="90" w:type="dxa"/>
              <w:start w:w="120" w:type="dxa"/>
              <w:bottom w:w="90" w:type="dxa"/>
              <w:end w:w="120" w:type="dxa"/>
            </w:tcMar>
          </w:tcPr>
          <w:p>
            <w:pPr>
              <w:spacing w:after="0"/>
            </w:pPr>
            <w:r>
              <w:rPr>
                <w:rFonts w:ascii="Arial" w:hAnsi="Arial"/>
                <w:b w:val="0"/>
                <w:i w:val="0"/>
                <w:color w:val="111111"/>
                <w:sz w:val="15"/>
              </w:rPr>
              <w:t>Resolve with operator</w:t>
            </w:r>
          </w:p>
        </w:tc>
      </w:tr>
    </w:tbl>
    <w:p>
      <w:pPr>
        <w:spacing w:after="40"/>
      </w:pPr>
    </w:p>
    <w:p>
      <w:pPr>
        <w:keepNext w:val="0"/>
        <w:spacing w:after="120"/>
      </w:pPr>
      <w:r>
        <w:rPr>
          <w:rFonts w:ascii="Arial" w:hAnsi="Arial"/>
          <w:b w:val="0"/>
          <w:i w:val="0"/>
          <w:color w:val="555555"/>
          <w:sz w:val="17"/>
        </w:rPr>
        <w:t>Commercial evidence such as live quotations, LOIs, site models, licences and legal confirmations must be dated and tied to the actual transaction or operating entity.</w:t>
      </w:r>
    </w:p>
    <w:p>
      <w:pPr>
        <w:pStyle w:val="Heading1"/>
      </w:pPr>
      <w:r>
        <w:t>Conflicting or updated information</w:t>
      </w:r>
    </w:p>
    <w:tbl>
      <w:tblPr>
        <w:tblStyle w:val="TableGrid"/>
        <w:tblW w:type="dxa" w:w="9640"/>
        <w:tblLayout w:type="fixed"/>
        <w:tblLook w:firstColumn="1" w:firstRow="1" w:lastColumn="0" w:lastRow="0" w:noHBand="0" w:noVBand="1" w:val="04A0"/>
        <w:jc w:val="left"/>
        <w:tblInd w:w="0" w:type="dxa"/>
      </w:tblPr>
      <w:tblGrid>
        <w:gridCol w:w="1700"/>
        <w:gridCol w:w="2600"/>
        <w:gridCol w:w="2500"/>
        <w:gridCol w:w="2840"/>
      </w:tblGrid>
      <w:tr>
        <w:trPr>
          <w:cantSplit/>
          <w:tblHeader w:val="true"/>
          <w:cantSplit/>
        </w:trPr>
        <w:tc>
          <w:tcPr>
            <w:tcW w:type="dxa" w:w="1700"/>
            <w:tcMar>
              <w:top w:w="90" w:type="dxa"/>
              <w:start w:w="120" w:type="dxa"/>
              <w:bottom w:w="90" w:type="dxa"/>
              <w:end w:w="120" w:type="dxa"/>
            </w:tcMar>
            <w:shd w:fill="111111"/>
            <w:vAlign w:val="center"/>
          </w:tcPr>
          <w:p>
            <w:pPr>
              <w:spacing w:after="0"/>
            </w:pPr>
            <w:r>
              <w:rPr>
                <w:rFonts w:ascii="Arial" w:hAnsi="Arial"/>
                <w:b/>
                <w:i w:val="0"/>
                <w:color w:val="FFFFFF"/>
                <w:sz w:val="14"/>
              </w:rPr>
              <w:t>TOPIC</w:t>
            </w:r>
          </w:p>
        </w:tc>
        <w:tc>
          <w:tcPr>
            <w:tcW w:type="dxa" w:w="2600"/>
            <w:tcMar>
              <w:top w:w="90" w:type="dxa"/>
              <w:start w:w="120" w:type="dxa"/>
              <w:bottom w:w="90" w:type="dxa"/>
              <w:end w:w="120" w:type="dxa"/>
            </w:tcMar>
            <w:shd w:fill="111111"/>
            <w:vAlign w:val="center"/>
          </w:tcPr>
          <w:p>
            <w:pPr>
              <w:spacing w:after="0"/>
            </w:pPr>
            <w:r>
              <w:rPr>
                <w:rFonts w:ascii="Arial" w:hAnsi="Arial"/>
                <w:b/>
                <w:i w:val="0"/>
                <w:color w:val="FFFFFF"/>
                <w:sz w:val="14"/>
              </w:rPr>
              <w:t>EARLIER FIGURE OR STATEMENT</w:t>
            </w:r>
          </w:p>
        </w:tc>
        <w:tc>
          <w:tcPr>
            <w:tcW w:type="dxa" w:w="2500"/>
            <w:tcMar>
              <w:top w:w="90" w:type="dxa"/>
              <w:start w:w="120" w:type="dxa"/>
              <w:bottom w:w="90" w:type="dxa"/>
              <w:end w:w="120" w:type="dxa"/>
            </w:tcMar>
            <w:shd w:fill="111111"/>
            <w:vAlign w:val="center"/>
          </w:tcPr>
          <w:p>
            <w:pPr>
              <w:spacing w:after="0"/>
            </w:pPr>
            <w:r>
              <w:rPr>
                <w:rFonts w:ascii="Arial" w:hAnsi="Arial"/>
                <w:b/>
                <w:i w:val="0"/>
                <w:color w:val="FFFFFF"/>
                <w:sz w:val="14"/>
              </w:rPr>
              <w:t>CONTROLLING POSITION</w:t>
            </w:r>
          </w:p>
        </w:tc>
        <w:tc>
          <w:tcPr>
            <w:tcW w:type="dxa" w:w="2840"/>
            <w:tcMar>
              <w:top w:w="90" w:type="dxa"/>
              <w:start w:w="120" w:type="dxa"/>
              <w:bottom w:w="90" w:type="dxa"/>
              <w:end w:w="120" w:type="dxa"/>
            </w:tcMar>
            <w:shd w:fill="111111"/>
            <w:vAlign w:val="center"/>
          </w:tcPr>
          <w:p>
            <w:pPr>
              <w:spacing w:after="0"/>
            </w:pPr>
            <w:r>
              <w:rPr>
                <w:rFonts w:ascii="Arial" w:hAnsi="Arial"/>
                <w:b/>
                <w:i w:val="0"/>
                <w:color w:val="FFFFFF"/>
                <w:sz w:val="14"/>
              </w:rPr>
              <w:t>RESOLUTION</w:t>
            </w:r>
          </w:p>
        </w:tc>
      </w:tr>
      <w:tr>
        <w:trPr>
          <w:cantSplit/>
          <w:cantSplit/>
        </w:trPr>
        <w:tc>
          <w:tcPr>
            <w:tcW w:type="dxa" w:w="1700"/>
            <w:shd w:fill="F3F3F3"/>
            <w:vAlign w:val="top"/>
            <w:tcMar>
              <w:top w:w="90" w:type="dxa"/>
              <w:start w:w="120" w:type="dxa"/>
              <w:bottom w:w="90" w:type="dxa"/>
              <w:end w:w="120" w:type="dxa"/>
            </w:tcMar>
          </w:tcPr>
          <w:p>
            <w:pPr>
              <w:spacing w:after="0"/>
            </w:pPr>
            <w:r>
              <w:rPr>
                <w:rFonts w:ascii="Arial" w:hAnsi="Arial"/>
                <w:b/>
                <w:i w:val="0"/>
                <w:color w:val="111111"/>
                <w:sz w:val="14"/>
              </w:rPr>
              <w:t>Asphalt cost stack</w:t>
            </w:r>
          </w:p>
        </w:tc>
        <w:tc>
          <w:tcPr>
            <w:tcW w:type="dxa" w:w="2600"/>
            <w:shd w:fill="F3F3F3"/>
            <w:vAlign w:val="top"/>
            <w:tcMar>
              <w:top w:w="90" w:type="dxa"/>
              <w:start w:w="120" w:type="dxa"/>
              <w:bottom w:w="90" w:type="dxa"/>
              <w:end w:w="120" w:type="dxa"/>
            </w:tcMar>
          </w:tcPr>
          <w:p>
            <w:pPr>
              <w:spacing w:after="0"/>
            </w:pPr>
            <w:r>
              <w:rPr>
                <w:rFonts w:ascii="Arial" w:hAnsi="Arial"/>
                <w:b w:val="0"/>
                <w:i w:val="0"/>
                <w:color w:val="111111"/>
                <w:sz w:val="14"/>
              </w:rPr>
              <w:t>AED192/t cost plus AED45/t net margin</w:t>
            </w:r>
          </w:p>
        </w:tc>
        <w:tc>
          <w:tcPr>
            <w:tcW w:type="dxa" w:w="2500"/>
            <w:shd w:fill="F3F3F3"/>
            <w:vAlign w:val="top"/>
            <w:tcMar>
              <w:top w:w="90" w:type="dxa"/>
              <w:start w:w="120" w:type="dxa"/>
              <w:bottom w:w="90" w:type="dxa"/>
              <w:end w:w="120" w:type="dxa"/>
            </w:tcMar>
          </w:tcPr>
          <w:p>
            <w:pPr>
              <w:spacing w:after="0"/>
            </w:pPr>
            <w:r>
              <w:rPr>
                <w:rFonts w:ascii="Arial" w:hAnsi="Arial"/>
                <w:b w:val="0"/>
                <w:i w:val="0"/>
                <w:color w:val="111111"/>
                <w:sz w:val="14"/>
              </w:rPr>
              <w:t>Sum equals AED237/t, above AED235/t selling price</w:t>
            </w:r>
          </w:p>
        </w:tc>
        <w:tc>
          <w:tcPr>
            <w:tcW w:type="dxa" w:w="2840"/>
            <w:shd w:fill="F3F3F3"/>
            <w:vAlign w:val="top"/>
            <w:tcMar>
              <w:top w:w="90" w:type="dxa"/>
              <w:start w:w="120" w:type="dxa"/>
              <w:bottom w:w="90" w:type="dxa"/>
              <w:end w:w="120" w:type="dxa"/>
            </w:tcMar>
          </w:tcPr>
          <w:p>
            <w:pPr>
              <w:spacing w:after="0"/>
            </w:pPr>
            <w:r>
              <w:rPr>
                <w:rFonts w:ascii="Arial" w:hAnsi="Arial"/>
                <w:b w:val="0"/>
                <w:i w:val="0"/>
                <w:color w:val="111111"/>
                <w:sz w:val="14"/>
              </w:rPr>
              <w:t>Do not publish margin or payback as reconciled; rebuild cost stack.</w:t>
            </w:r>
          </w:p>
        </w:tc>
      </w:tr>
      <w:tr>
        <w:trPr>
          <w:cantSplit/>
          <w:cantSplit/>
        </w:trPr>
        <w:tc>
          <w:tcPr>
            <w:tcW w:type="dxa" w:w="1700"/>
            <w:shd w:fill="FFFFFF"/>
            <w:vAlign w:val="top"/>
            <w:tcMar>
              <w:top w:w="90" w:type="dxa"/>
              <w:start w:w="120" w:type="dxa"/>
              <w:bottom w:w="90" w:type="dxa"/>
              <w:end w:w="120" w:type="dxa"/>
            </w:tcMar>
          </w:tcPr>
          <w:p>
            <w:pPr>
              <w:spacing w:after="0"/>
            </w:pPr>
            <w:r>
              <w:rPr>
                <w:rFonts w:ascii="Arial" w:hAnsi="Arial"/>
                <w:b/>
                <w:i w:val="0"/>
                <w:color w:val="111111"/>
                <w:sz w:val="14"/>
              </w:rPr>
              <w:t>Concrete capacity</w:t>
            </w:r>
          </w:p>
        </w:tc>
        <w:tc>
          <w:tcPr>
            <w:tcW w:type="dxa" w:w="2600"/>
            <w:shd w:fill="FFFFFF"/>
            <w:vAlign w:val="top"/>
            <w:tcMar>
              <w:top w:w="90" w:type="dxa"/>
              <w:start w:w="120" w:type="dxa"/>
              <w:bottom w:w="90" w:type="dxa"/>
              <w:end w:w="120" w:type="dxa"/>
            </w:tcMar>
          </w:tcPr>
          <w:p>
            <w:pPr>
              <w:spacing w:after="0"/>
            </w:pPr>
            <w:r>
              <w:rPr>
                <w:rFonts w:ascii="Arial" w:hAnsi="Arial"/>
                <w:b w:val="0"/>
                <w:i w:val="0"/>
                <w:color w:val="111111"/>
                <w:sz w:val="14"/>
              </w:rPr>
              <w:t>10,400 / 13,000 / 14,300 m3 per month</w:t>
            </w:r>
          </w:p>
        </w:tc>
        <w:tc>
          <w:tcPr>
            <w:tcW w:type="dxa" w:w="2500"/>
            <w:shd w:fill="FFFFFF"/>
            <w:vAlign w:val="top"/>
            <w:tcMar>
              <w:top w:w="90" w:type="dxa"/>
              <w:start w:w="120" w:type="dxa"/>
              <w:bottom w:w="90" w:type="dxa"/>
              <w:end w:w="120" w:type="dxa"/>
            </w:tcMar>
          </w:tcPr>
          <w:p>
            <w:pPr>
              <w:spacing w:after="0"/>
            </w:pPr>
            <w:r>
              <w:rPr>
                <w:rFonts w:ascii="Arial" w:hAnsi="Arial"/>
                <w:b w:val="0"/>
                <w:i w:val="0"/>
                <w:color w:val="111111"/>
                <w:sz w:val="14"/>
              </w:rPr>
              <w:t>No controlling figure</w:t>
            </w:r>
          </w:p>
        </w:tc>
        <w:tc>
          <w:tcPr>
            <w:tcW w:type="dxa" w:w="2840"/>
            <w:shd w:fill="FFFFFF"/>
            <w:vAlign w:val="top"/>
            <w:tcMar>
              <w:top w:w="90" w:type="dxa"/>
              <w:start w:w="120" w:type="dxa"/>
              <w:bottom w:w="90" w:type="dxa"/>
              <w:end w:w="120" w:type="dxa"/>
            </w:tcMar>
          </w:tcPr>
          <w:p>
            <w:pPr>
              <w:spacing w:after="0"/>
            </w:pPr>
            <w:r>
              <w:rPr>
                <w:rFonts w:ascii="Arial" w:hAnsi="Arial"/>
                <w:b w:val="0"/>
                <w:i w:val="0"/>
                <w:color w:val="111111"/>
                <w:sz w:val="14"/>
              </w:rPr>
              <w:t>Reconcile with operating partner and fleet productivity schedule.</w:t>
            </w:r>
          </w:p>
        </w:tc>
      </w:tr>
      <w:tr>
        <w:trPr>
          <w:cantSplit/>
          <w:cantSplit/>
        </w:trPr>
        <w:tc>
          <w:tcPr>
            <w:tcW w:type="dxa" w:w="1700"/>
            <w:shd w:fill="F3F3F3"/>
            <w:vAlign w:val="top"/>
            <w:tcMar>
              <w:top w:w="90" w:type="dxa"/>
              <w:start w:w="120" w:type="dxa"/>
              <w:bottom w:w="90" w:type="dxa"/>
              <w:end w:w="120" w:type="dxa"/>
            </w:tcMar>
          </w:tcPr>
          <w:p>
            <w:pPr>
              <w:spacing w:after="0"/>
            </w:pPr>
            <w:r>
              <w:rPr>
                <w:rFonts w:ascii="Arial" w:hAnsi="Arial"/>
                <w:b/>
                <w:i w:val="0"/>
                <w:color w:val="111111"/>
                <w:sz w:val="14"/>
              </w:rPr>
              <w:t>Concrete selling price</w:t>
            </w:r>
          </w:p>
        </w:tc>
        <w:tc>
          <w:tcPr>
            <w:tcW w:type="dxa" w:w="2600"/>
            <w:shd w:fill="F3F3F3"/>
            <w:vAlign w:val="top"/>
            <w:tcMar>
              <w:top w:w="90" w:type="dxa"/>
              <w:start w:w="120" w:type="dxa"/>
              <w:bottom w:w="90" w:type="dxa"/>
              <w:end w:w="120" w:type="dxa"/>
            </w:tcMar>
          </w:tcPr>
          <w:p>
            <w:pPr>
              <w:spacing w:after="0"/>
            </w:pPr>
            <w:r>
              <w:rPr>
                <w:rFonts w:ascii="Arial" w:hAnsi="Arial"/>
                <w:b w:val="0"/>
                <w:i w:val="0"/>
                <w:color w:val="111111"/>
                <w:sz w:val="14"/>
              </w:rPr>
              <w:t>AED400 and AED420/m3</w:t>
            </w:r>
          </w:p>
        </w:tc>
        <w:tc>
          <w:tcPr>
            <w:tcW w:type="dxa" w:w="2500"/>
            <w:shd w:fill="F3F3F3"/>
            <w:vAlign w:val="top"/>
            <w:tcMar>
              <w:top w:w="90" w:type="dxa"/>
              <w:start w:w="120" w:type="dxa"/>
              <w:bottom w:w="90" w:type="dxa"/>
              <w:end w:w="120" w:type="dxa"/>
            </w:tcMar>
          </w:tcPr>
          <w:p>
            <w:pPr>
              <w:spacing w:after="0"/>
            </w:pPr>
            <w:r>
              <w:rPr>
                <w:rFonts w:ascii="Arial" w:hAnsi="Arial"/>
                <w:b w:val="0"/>
                <w:i w:val="0"/>
                <w:color w:val="111111"/>
                <w:sz w:val="14"/>
              </w:rPr>
              <w:t>No controlling figure</w:t>
            </w:r>
          </w:p>
        </w:tc>
        <w:tc>
          <w:tcPr>
            <w:tcW w:type="dxa" w:w="2840"/>
            <w:shd w:fill="F3F3F3"/>
            <w:vAlign w:val="top"/>
            <w:tcMar>
              <w:top w:w="90" w:type="dxa"/>
              <w:start w:w="120" w:type="dxa"/>
              <w:bottom w:w="90" w:type="dxa"/>
              <w:end w:w="120" w:type="dxa"/>
            </w:tcMar>
          </w:tcPr>
          <w:p>
            <w:pPr>
              <w:spacing w:after="0"/>
            </w:pPr>
            <w:r>
              <w:rPr>
                <w:rFonts w:ascii="Arial" w:hAnsi="Arial"/>
                <w:b w:val="0"/>
                <w:i w:val="0"/>
                <w:color w:val="111111"/>
                <w:sz w:val="14"/>
              </w:rPr>
              <w:t>Obtain current customer quotations and define pumping inclusion.</w:t>
            </w:r>
          </w:p>
        </w:tc>
      </w:tr>
      <w:tr>
        <w:trPr>
          <w:cantSplit/>
          <w:cantSplit/>
        </w:trPr>
        <w:tc>
          <w:tcPr>
            <w:tcW w:type="dxa" w:w="1700"/>
            <w:shd w:fill="FFFFFF"/>
            <w:vAlign w:val="top"/>
            <w:tcMar>
              <w:top w:w="90" w:type="dxa"/>
              <w:start w:w="120" w:type="dxa"/>
              <w:bottom w:w="90" w:type="dxa"/>
              <w:end w:w="120" w:type="dxa"/>
            </w:tcMar>
          </w:tcPr>
          <w:p>
            <w:pPr>
              <w:spacing w:after="0"/>
            </w:pPr>
            <w:r>
              <w:rPr>
                <w:rFonts w:ascii="Arial" w:hAnsi="Arial"/>
                <w:b/>
                <w:i w:val="0"/>
                <w:color w:val="111111"/>
                <w:sz w:val="14"/>
              </w:rPr>
              <w:t>Concrete unit profit</w:t>
            </w:r>
          </w:p>
        </w:tc>
        <w:tc>
          <w:tcPr>
            <w:tcW w:type="dxa" w:w="2600"/>
            <w:shd w:fill="FFFFFF"/>
            <w:vAlign w:val="top"/>
            <w:tcMar>
              <w:top w:w="90" w:type="dxa"/>
              <w:start w:w="120" w:type="dxa"/>
              <w:bottom w:w="90" w:type="dxa"/>
              <w:end w:w="120" w:type="dxa"/>
            </w:tcMar>
          </w:tcPr>
          <w:p>
            <w:pPr>
              <w:spacing w:after="0"/>
            </w:pPr>
            <w:r>
              <w:rPr>
                <w:rFonts w:ascii="Arial" w:hAnsi="Arial"/>
                <w:b w:val="0"/>
                <w:i w:val="0"/>
                <w:color w:val="111111"/>
                <w:sz w:val="14"/>
              </w:rPr>
              <w:t>AED23.50 and AED43/m3</w:t>
            </w:r>
          </w:p>
        </w:tc>
        <w:tc>
          <w:tcPr>
            <w:tcW w:type="dxa" w:w="2500"/>
            <w:shd w:fill="FFFFFF"/>
            <w:vAlign w:val="top"/>
            <w:tcMar>
              <w:top w:w="90" w:type="dxa"/>
              <w:start w:w="120" w:type="dxa"/>
              <w:bottom w:w="90" w:type="dxa"/>
              <w:end w:w="120" w:type="dxa"/>
            </w:tcMar>
          </w:tcPr>
          <w:p>
            <w:pPr>
              <w:spacing w:after="0"/>
            </w:pPr>
            <w:r>
              <w:rPr>
                <w:rFonts w:ascii="Arial" w:hAnsi="Arial"/>
                <w:b w:val="0"/>
                <w:i w:val="0"/>
                <w:color w:val="111111"/>
                <w:sz w:val="14"/>
              </w:rPr>
              <w:t>No controlling figure</w:t>
            </w:r>
          </w:p>
        </w:tc>
        <w:tc>
          <w:tcPr>
            <w:tcW w:type="dxa" w:w="2840"/>
            <w:shd w:fill="FFFFFF"/>
            <w:vAlign w:val="top"/>
            <w:tcMar>
              <w:top w:w="90" w:type="dxa"/>
              <w:start w:w="120" w:type="dxa"/>
              <w:bottom w:w="90" w:type="dxa"/>
              <w:end w:w="120" w:type="dxa"/>
            </w:tcMar>
          </w:tcPr>
          <w:p>
            <w:pPr>
              <w:spacing w:after="0"/>
            </w:pPr>
            <w:r>
              <w:rPr>
                <w:rFonts w:ascii="Arial" w:hAnsi="Arial"/>
                <w:b w:val="0"/>
                <w:i w:val="0"/>
                <w:color w:val="111111"/>
                <w:sz w:val="14"/>
              </w:rPr>
              <w:t>Reconcile price, purchase cost and total delivered cost.</w:t>
            </w:r>
          </w:p>
        </w:tc>
      </w:tr>
      <w:tr>
        <w:trPr>
          <w:cantSplit/>
          <w:cantSplit/>
        </w:trPr>
        <w:tc>
          <w:tcPr>
            <w:tcW w:type="dxa" w:w="1700"/>
            <w:shd w:fill="F3F3F3"/>
            <w:vAlign w:val="top"/>
            <w:tcMar>
              <w:top w:w="90" w:type="dxa"/>
              <w:start w:w="120" w:type="dxa"/>
              <w:bottom w:w="90" w:type="dxa"/>
              <w:end w:w="120" w:type="dxa"/>
            </w:tcMar>
          </w:tcPr>
          <w:p>
            <w:pPr>
              <w:spacing w:after="0"/>
            </w:pPr>
            <w:r>
              <w:rPr>
                <w:rFonts w:ascii="Arial" w:hAnsi="Arial"/>
                <w:b/>
                <w:i w:val="0"/>
                <w:color w:val="111111"/>
                <w:sz w:val="14"/>
              </w:rPr>
              <w:t>Concrete staffing</w:t>
            </w:r>
          </w:p>
        </w:tc>
        <w:tc>
          <w:tcPr>
            <w:tcW w:type="dxa" w:w="2600"/>
            <w:shd w:fill="F3F3F3"/>
            <w:vAlign w:val="top"/>
            <w:tcMar>
              <w:top w:w="90" w:type="dxa"/>
              <w:start w:w="120" w:type="dxa"/>
              <w:bottom w:w="90" w:type="dxa"/>
              <w:end w:w="120" w:type="dxa"/>
            </w:tcMar>
          </w:tcPr>
          <w:p>
            <w:pPr>
              <w:spacing w:after="0"/>
            </w:pPr>
            <w:r>
              <w:rPr>
                <w:rFonts w:ascii="Arial" w:hAnsi="Arial"/>
                <w:b w:val="0"/>
                <w:i w:val="0"/>
                <w:color w:val="111111"/>
                <w:sz w:val="14"/>
              </w:rPr>
              <w:t>32 and 33 employees</w:t>
            </w:r>
          </w:p>
        </w:tc>
        <w:tc>
          <w:tcPr>
            <w:tcW w:type="dxa" w:w="2500"/>
            <w:shd w:fill="F3F3F3"/>
            <w:vAlign w:val="top"/>
            <w:tcMar>
              <w:top w:w="90" w:type="dxa"/>
              <w:start w:w="120" w:type="dxa"/>
              <w:bottom w:w="90" w:type="dxa"/>
              <w:end w:w="120" w:type="dxa"/>
            </w:tcMar>
          </w:tcPr>
          <w:p>
            <w:pPr>
              <w:spacing w:after="0"/>
            </w:pPr>
            <w:r>
              <w:rPr>
                <w:rFonts w:ascii="Arial" w:hAnsi="Arial"/>
                <w:b w:val="0"/>
                <w:i w:val="0"/>
                <w:color w:val="111111"/>
                <w:sz w:val="14"/>
              </w:rPr>
              <w:t>No controlling figure</w:t>
            </w:r>
          </w:p>
        </w:tc>
        <w:tc>
          <w:tcPr>
            <w:tcW w:type="dxa" w:w="2840"/>
            <w:shd w:fill="F3F3F3"/>
            <w:vAlign w:val="top"/>
            <w:tcMar>
              <w:top w:w="90" w:type="dxa"/>
              <w:start w:w="120" w:type="dxa"/>
              <w:bottom w:w="90" w:type="dxa"/>
              <w:end w:w="120" w:type="dxa"/>
            </w:tcMar>
          </w:tcPr>
          <w:p>
            <w:pPr>
              <w:spacing w:after="0"/>
            </w:pPr>
            <w:r>
              <w:rPr>
                <w:rFonts w:ascii="Arial" w:hAnsi="Arial"/>
                <w:b w:val="0"/>
                <w:i w:val="0"/>
                <w:color w:val="111111"/>
                <w:sz w:val="14"/>
              </w:rPr>
              <w:t>Rebuild staffing plan by shift and fleet.</w:t>
            </w:r>
          </w:p>
        </w:tc>
      </w:tr>
    </w:tbl>
    <w:p>
      <w:pPr>
        <w:spacing w:after="40"/>
      </w:pPr>
    </w:p>
    <w:p>
      <w:r>
        <w:br w:type="page"/>
      </w:r>
    </w:p>
    <w:p>
      <w:pPr>
        <w:pStyle w:val="Heading1"/>
      </w:pPr>
      <w:r>
        <w:t>Material claim register</w:t>
      </w:r>
    </w:p>
    <w:tbl>
      <w:tblPr>
        <w:tblStyle w:val="TableGrid"/>
        <w:tblW w:type="dxa" w:w="9640"/>
        <w:tblLayout w:type="fixed"/>
        <w:tblLook w:firstColumn="1" w:firstRow="1" w:lastColumn="0" w:lastRow="0" w:noHBand="0" w:noVBand="1" w:val="04A0"/>
        <w:jc w:val="left"/>
        <w:tblInd w:w="0" w:type="dxa"/>
      </w:tblPr>
      <w:tblGrid>
        <w:gridCol w:w="1100"/>
        <w:gridCol w:w="1900"/>
        <w:gridCol w:w="1500"/>
        <w:gridCol w:w="1300"/>
        <w:gridCol w:w="2100"/>
        <w:gridCol w:w="1740"/>
      </w:tblGrid>
      <w:tr>
        <w:trPr>
          <w:cantSplit/>
          <w:tblHeader w:val="true"/>
          <w:cantSplit/>
        </w:trPr>
        <w:tc>
          <w:tcPr>
            <w:tcW w:type="dxa" w:w="1100"/>
            <w:tcMar>
              <w:top w:w="90" w:type="dxa"/>
              <w:start w:w="120" w:type="dxa"/>
              <w:bottom w:w="90" w:type="dxa"/>
              <w:end w:w="120" w:type="dxa"/>
            </w:tcMar>
            <w:shd w:fill="111111"/>
            <w:vAlign w:val="center"/>
          </w:tcPr>
          <w:p>
            <w:pPr>
              <w:spacing w:after="0"/>
            </w:pPr>
            <w:r>
              <w:rPr>
                <w:rFonts w:ascii="Arial" w:hAnsi="Arial"/>
                <w:b/>
                <w:i w:val="0"/>
                <w:color w:val="FFFFFF"/>
                <w:sz w:val="14"/>
              </w:rPr>
              <w:t>CLAIM</w:t>
            </w:r>
          </w:p>
        </w:tc>
        <w:tc>
          <w:tcPr>
            <w:tcW w:type="dxa" w:w="1900"/>
            <w:tcMar>
              <w:top w:w="90" w:type="dxa"/>
              <w:start w:w="120" w:type="dxa"/>
              <w:bottom w:w="90" w:type="dxa"/>
              <w:end w:w="120" w:type="dxa"/>
            </w:tcMar>
            <w:shd w:fill="111111"/>
            <w:vAlign w:val="center"/>
          </w:tcPr>
          <w:p>
            <w:pPr>
              <w:spacing w:after="0"/>
            </w:pPr>
            <w:r>
              <w:rPr>
                <w:rFonts w:ascii="Arial" w:hAnsi="Arial"/>
                <w:b/>
                <w:i w:val="0"/>
                <w:color w:val="FFFFFF"/>
                <w:sz w:val="14"/>
              </w:rPr>
              <w:t>METRIC</w:t>
            </w:r>
          </w:p>
        </w:tc>
        <w:tc>
          <w:tcPr>
            <w:tcW w:type="dxa" w:w="1500"/>
            <w:tcMar>
              <w:top w:w="90" w:type="dxa"/>
              <w:start w:w="120" w:type="dxa"/>
              <w:bottom w:w="90" w:type="dxa"/>
              <w:end w:w="120" w:type="dxa"/>
            </w:tcMar>
            <w:shd w:fill="111111"/>
            <w:vAlign w:val="center"/>
          </w:tcPr>
          <w:p>
            <w:pPr>
              <w:spacing w:after="0"/>
            </w:pPr>
            <w:r>
              <w:rPr>
                <w:rFonts w:ascii="Arial" w:hAnsi="Arial"/>
                <w:b/>
                <w:i w:val="0"/>
                <w:color w:val="FFFFFF"/>
                <w:sz w:val="14"/>
              </w:rPr>
              <w:t>VALUE</w:t>
            </w:r>
          </w:p>
        </w:tc>
        <w:tc>
          <w:tcPr>
            <w:tcW w:type="dxa" w:w="1300"/>
            <w:tcMar>
              <w:top w:w="90" w:type="dxa"/>
              <w:start w:w="120" w:type="dxa"/>
              <w:bottom w:w="90" w:type="dxa"/>
              <w:end w:w="120" w:type="dxa"/>
            </w:tcMar>
            <w:shd w:fill="111111"/>
            <w:vAlign w:val="center"/>
          </w:tcPr>
          <w:p>
            <w:pPr>
              <w:spacing w:after="0"/>
            </w:pPr>
            <w:r>
              <w:rPr>
                <w:rFonts w:ascii="Arial" w:hAnsi="Arial"/>
                <w:b/>
                <w:i w:val="0"/>
                <w:color w:val="FFFFFF"/>
                <w:sz w:val="14"/>
              </w:rPr>
              <w:t>PERIOD</w:t>
            </w:r>
          </w:p>
        </w:tc>
        <w:tc>
          <w:tcPr>
            <w:tcW w:type="dxa" w:w="2100"/>
            <w:tcMar>
              <w:top w:w="90" w:type="dxa"/>
              <w:start w:w="120" w:type="dxa"/>
              <w:bottom w:w="90" w:type="dxa"/>
              <w:end w:w="120" w:type="dxa"/>
            </w:tcMar>
            <w:shd w:fill="111111"/>
            <w:vAlign w:val="center"/>
          </w:tcPr>
          <w:p>
            <w:pPr>
              <w:spacing w:after="0"/>
            </w:pPr>
            <w:r>
              <w:rPr>
                <w:rFonts w:ascii="Arial" w:hAnsi="Arial"/>
                <w:b/>
                <w:i w:val="0"/>
                <w:color w:val="FFFFFF"/>
                <w:sz w:val="14"/>
              </w:rPr>
              <w:t>EVIDENCE</w:t>
            </w:r>
          </w:p>
        </w:tc>
        <w:tc>
          <w:tcPr>
            <w:tcW w:type="dxa" w:w="1740"/>
            <w:tcMar>
              <w:top w:w="90" w:type="dxa"/>
              <w:start w:w="120" w:type="dxa"/>
              <w:bottom w:w="90" w:type="dxa"/>
              <w:end w:w="120" w:type="dxa"/>
            </w:tcMar>
            <w:shd w:fill="111111"/>
            <w:vAlign w:val="center"/>
          </w:tcPr>
          <w:p>
            <w:pPr>
              <w:spacing w:after="0"/>
            </w:pPr>
            <w:r>
              <w:rPr>
                <w:rFonts w:ascii="Arial" w:hAnsi="Arial"/>
                <w:b/>
                <w:i w:val="0"/>
                <w:color w:val="FFFFFF"/>
                <w:sz w:val="14"/>
              </w:rPr>
              <w:t>SOURCE / LIMITATION</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V05-C01</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Plant-platform benchmark CAPEX</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approximately AED 47M AED</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2026 research model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S08. Not all-in: land, finance, working capital and other items remain incomplete.</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V05-C02</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Working volume</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25000 tonnes/month</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Base model</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S08. No anchor offtake yet.</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V05-C03</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Ex-factory selling price</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235 AED/tonne</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Base model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MODELLED ASSUMPTION</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S08. Requires live market quotes.</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V05-C04</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Target net figure</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45 AED/tonne</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Base model</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CONFLICTING SOURCE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S08. AED192 cost plus AED45 equals AED237, above AED235 selling price.</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V05-C05</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Annualised sales</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70.5M AED/year</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Base model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S08. No ramp-up, downtime or volume risk included.</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V05-C06</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Simple payback</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approximately 3.5 years years</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Base model</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CALCULATED FROM PUBLISHED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S08. Before financing, ramp-up, land and working capital.</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V05-C07</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Draft investment</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AED 5.188M AED</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Internal proposal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COMPANY-REPORTED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S09. Internal proposal; not independently validated.</w:t>
            </w:r>
          </w:p>
        </w:tc>
      </w:tr>
      <w:tr>
        <w:trPr>
          <w:cantSplit/>
          <w:cantSplit/>
        </w:trPr>
        <w:tc>
          <w:tcPr>
            <w:tcW w:type="dxa" w:w="1100"/>
            <w:shd w:fill="FFFFFF"/>
            <w:vAlign w:val="top"/>
            <w:tcMar>
              <w:top w:w="90" w:type="dxa"/>
              <w:start w:w="120" w:type="dxa"/>
              <w:bottom w:w="90" w:type="dxa"/>
              <w:end w:w="120" w:type="dxa"/>
            </w:tcMar>
          </w:tcPr>
          <w:p>
            <w:pPr>
              <w:spacing w:after="0"/>
            </w:pPr>
            <w:r>
              <w:rPr>
                <w:rFonts w:ascii="Arial" w:hAnsi="Arial"/>
                <w:b/>
                <w:i w:val="0"/>
                <w:color w:val="111111"/>
                <w:sz w:val="14"/>
              </w:rPr>
              <w:t>V05-C08</w:t>
            </w:r>
          </w:p>
        </w:tc>
        <w:tc>
          <w:tcPr>
            <w:tcW w:type="dxa" w:w="1900"/>
            <w:shd w:fill="FFFFFF"/>
            <w:vAlign w:val="top"/>
            <w:tcMar>
              <w:top w:w="90" w:type="dxa"/>
              <w:start w:w="120" w:type="dxa"/>
              <w:bottom w:w="90" w:type="dxa"/>
              <w:end w:w="120" w:type="dxa"/>
            </w:tcMar>
          </w:tcPr>
          <w:p>
            <w:pPr>
              <w:spacing w:after="0"/>
            </w:pPr>
            <w:r>
              <w:rPr>
                <w:rFonts w:ascii="Arial" w:hAnsi="Arial"/>
                <w:b w:val="0"/>
                <w:i w:val="0"/>
                <w:color w:val="111111"/>
                <w:sz w:val="14"/>
              </w:rPr>
              <w:t>Starting fleet</w:t>
            </w:r>
          </w:p>
        </w:tc>
        <w:tc>
          <w:tcPr>
            <w:tcW w:type="dxa" w:w="1500"/>
            <w:shd w:fill="FFFFFF"/>
            <w:vAlign w:val="top"/>
            <w:tcMar>
              <w:top w:w="90" w:type="dxa"/>
              <w:start w:w="120" w:type="dxa"/>
              <w:bottom w:w="90" w:type="dxa"/>
              <w:end w:w="120" w:type="dxa"/>
            </w:tcMar>
          </w:tcPr>
          <w:p>
            <w:pPr>
              <w:spacing w:after="0"/>
            </w:pPr>
            <w:r>
              <w:rPr>
                <w:rFonts w:ascii="Arial" w:hAnsi="Arial"/>
                <w:b w:val="0"/>
                <w:i w:val="0"/>
                <w:color w:val="111111"/>
                <w:sz w:val="14"/>
              </w:rPr>
              <w:t>10 mixers + 2 pumps + 1 pickup vehicles/equipment</w:t>
            </w:r>
          </w:p>
        </w:tc>
        <w:tc>
          <w:tcPr>
            <w:tcW w:type="dxa" w:w="1300"/>
            <w:shd w:fill="FFFFFF"/>
            <w:vAlign w:val="top"/>
            <w:tcMar>
              <w:top w:w="90" w:type="dxa"/>
              <w:start w:w="120" w:type="dxa"/>
              <w:bottom w:w="90" w:type="dxa"/>
              <w:end w:w="120" w:type="dxa"/>
            </w:tcMar>
          </w:tcPr>
          <w:p>
            <w:pPr>
              <w:spacing w:after="0"/>
            </w:pPr>
            <w:r>
              <w:rPr>
                <w:rFonts w:ascii="Arial" w:hAnsi="Arial"/>
                <w:b w:val="0"/>
                <w:i w:val="0"/>
                <w:color w:val="111111"/>
                <w:sz w:val="14"/>
              </w:rPr>
              <w:t>Internal proposal</w:t>
            </w:r>
          </w:p>
        </w:tc>
        <w:tc>
          <w:tcPr>
            <w:tcW w:type="dxa" w:w="2100"/>
            <w:shd w:fill="FFFFFF"/>
            <w:vAlign w:val="top"/>
            <w:tcMar>
              <w:top w:w="90" w:type="dxa"/>
              <w:start w:w="120" w:type="dxa"/>
              <w:bottom w:w="90" w:type="dxa"/>
              <w:end w:w="120" w:type="dxa"/>
            </w:tcMar>
          </w:tcPr>
          <w:p>
            <w:pPr>
              <w:spacing w:after="0"/>
            </w:pPr>
            <w:r>
              <w:rPr>
                <w:rFonts w:ascii="Arial" w:hAnsi="Arial"/>
                <w:b w:val="0"/>
                <w:i w:val="0"/>
                <w:color w:val="111111"/>
                <w:sz w:val="14"/>
              </w:rPr>
              <w:t>COMPANY-REPORTED DATA</w:t>
            </w:r>
          </w:p>
        </w:tc>
        <w:tc>
          <w:tcPr>
            <w:tcW w:type="dxa" w:w="1740"/>
            <w:shd w:fill="FFFFFF"/>
            <w:vAlign w:val="top"/>
            <w:tcMar>
              <w:top w:w="90" w:type="dxa"/>
              <w:start w:w="120" w:type="dxa"/>
              <w:bottom w:w="90" w:type="dxa"/>
              <w:end w:w="120" w:type="dxa"/>
            </w:tcMar>
          </w:tcPr>
          <w:p>
            <w:pPr>
              <w:spacing w:after="0"/>
            </w:pPr>
            <w:r>
              <w:rPr>
                <w:rFonts w:ascii="Arial" w:hAnsi="Arial"/>
                <w:b w:val="0"/>
                <w:i w:val="0"/>
                <w:color w:val="111111"/>
                <w:sz w:val="14"/>
              </w:rPr>
              <w:t>S09. Supplier quotations required.</w:t>
            </w:r>
          </w:p>
        </w:tc>
      </w:tr>
      <w:tr>
        <w:trPr>
          <w:cantSplit/>
          <w:cantSplit/>
        </w:trPr>
        <w:tc>
          <w:tcPr>
            <w:tcW w:type="dxa" w:w="1100"/>
            <w:shd w:fill="F3F3F3"/>
            <w:vAlign w:val="top"/>
            <w:tcMar>
              <w:top w:w="90" w:type="dxa"/>
              <w:start w:w="120" w:type="dxa"/>
              <w:bottom w:w="90" w:type="dxa"/>
              <w:end w:w="120" w:type="dxa"/>
            </w:tcMar>
          </w:tcPr>
          <w:p>
            <w:pPr>
              <w:spacing w:after="0"/>
            </w:pPr>
            <w:r>
              <w:rPr>
                <w:rFonts w:ascii="Arial" w:hAnsi="Arial"/>
                <w:b/>
                <w:i w:val="0"/>
                <w:color w:val="111111"/>
                <w:sz w:val="14"/>
              </w:rPr>
              <w:t>V05-C09</w:t>
            </w:r>
          </w:p>
        </w:tc>
        <w:tc>
          <w:tcPr>
            <w:tcW w:type="dxa" w:w="1900"/>
            <w:shd w:fill="F3F3F3"/>
            <w:vAlign w:val="top"/>
            <w:tcMar>
              <w:top w:w="90" w:type="dxa"/>
              <w:start w:w="120" w:type="dxa"/>
              <w:bottom w:w="90" w:type="dxa"/>
              <w:end w:w="120" w:type="dxa"/>
            </w:tcMar>
          </w:tcPr>
          <w:p>
            <w:pPr>
              <w:spacing w:after="0"/>
            </w:pPr>
            <w:r>
              <w:rPr>
                <w:rFonts w:ascii="Arial" w:hAnsi="Arial"/>
                <w:b w:val="0"/>
                <w:i w:val="0"/>
                <w:color w:val="111111"/>
                <w:sz w:val="14"/>
              </w:rPr>
              <w:t>Capacity/price/margin/staffing</w:t>
            </w:r>
          </w:p>
        </w:tc>
        <w:tc>
          <w:tcPr>
            <w:tcW w:type="dxa" w:w="1500"/>
            <w:shd w:fill="F3F3F3"/>
            <w:vAlign w:val="top"/>
            <w:tcMar>
              <w:top w:w="90" w:type="dxa"/>
              <w:start w:w="120" w:type="dxa"/>
              <w:bottom w:w="90" w:type="dxa"/>
              <w:end w:w="120" w:type="dxa"/>
            </w:tcMar>
          </w:tcPr>
          <w:p>
            <w:pPr>
              <w:spacing w:after="0"/>
            </w:pPr>
            <w:r>
              <w:rPr>
                <w:rFonts w:ascii="Arial" w:hAnsi="Arial"/>
                <w:b w:val="0"/>
                <w:i w:val="0"/>
                <w:color w:val="111111"/>
                <w:sz w:val="14"/>
              </w:rPr>
              <w:t>Conflicting n/a</w:t>
            </w:r>
          </w:p>
        </w:tc>
        <w:tc>
          <w:tcPr>
            <w:tcW w:type="dxa" w:w="1300"/>
            <w:shd w:fill="F3F3F3"/>
            <w:vAlign w:val="top"/>
            <w:tcMar>
              <w:top w:w="90" w:type="dxa"/>
              <w:start w:w="120" w:type="dxa"/>
              <w:bottom w:w="90" w:type="dxa"/>
              <w:end w:w="120" w:type="dxa"/>
            </w:tcMar>
          </w:tcPr>
          <w:p>
            <w:pPr>
              <w:spacing w:after="0"/>
            </w:pPr>
            <w:r>
              <w:rPr>
                <w:rFonts w:ascii="Arial" w:hAnsi="Arial"/>
                <w:b w:val="0"/>
                <w:i w:val="0"/>
                <w:color w:val="111111"/>
                <w:sz w:val="14"/>
              </w:rPr>
              <w:t>Internal proposal</w:t>
            </w:r>
          </w:p>
        </w:tc>
        <w:tc>
          <w:tcPr>
            <w:tcW w:type="dxa" w:w="2100"/>
            <w:shd w:fill="F3F3F3"/>
            <w:vAlign w:val="top"/>
            <w:tcMar>
              <w:top w:w="90" w:type="dxa"/>
              <w:start w:w="120" w:type="dxa"/>
              <w:bottom w:w="90" w:type="dxa"/>
              <w:end w:w="120" w:type="dxa"/>
            </w:tcMar>
          </w:tcPr>
          <w:p>
            <w:pPr>
              <w:spacing w:after="0"/>
            </w:pPr>
            <w:r>
              <w:rPr>
                <w:rFonts w:ascii="Arial" w:hAnsi="Arial"/>
                <w:b w:val="0"/>
                <w:i w:val="0"/>
                <w:color w:val="111111"/>
                <w:sz w:val="14"/>
              </w:rPr>
              <w:t>CONFLICTING SOURCE DATA</w:t>
            </w:r>
          </w:p>
        </w:tc>
        <w:tc>
          <w:tcPr>
            <w:tcW w:type="dxa" w:w="1740"/>
            <w:shd w:fill="F3F3F3"/>
            <w:vAlign w:val="top"/>
            <w:tcMar>
              <w:top w:w="90" w:type="dxa"/>
              <w:start w:w="120" w:type="dxa"/>
              <w:bottom w:w="90" w:type="dxa"/>
              <w:end w:w="120" w:type="dxa"/>
            </w:tcMar>
          </w:tcPr>
          <w:p>
            <w:pPr>
              <w:spacing w:after="0"/>
            </w:pPr>
            <w:r>
              <w:rPr>
                <w:rFonts w:ascii="Arial" w:hAnsi="Arial"/>
                <w:b w:val="0"/>
                <w:i w:val="0"/>
                <w:color w:val="111111"/>
                <w:sz w:val="14"/>
              </w:rPr>
              <w:t>S09. 10,400/13,000/14,300 m3; AED400/420; AED23.50/43; 32/33 staff.</w:t>
            </w:r>
          </w:p>
        </w:tc>
      </w:tr>
    </w:tbl>
    <w:p>
      <w:pPr>
        <w:spacing w:after="40"/>
      </w:pPr>
    </w:p>
    <w:p>
      <w:pPr>
        <w:pStyle w:val="Heading1"/>
      </w:pPr>
      <w:r>
        <w:t>Source register</w:t>
      </w:r>
    </w:p>
    <w:p>
      <w:pPr>
        <w:spacing w:after="40"/>
      </w:pPr>
      <w:r>
        <w:rPr>
          <w:rFonts w:ascii="Arial" w:hAnsi="Arial"/>
          <w:b/>
          <w:i w:val="0"/>
          <w:color w:val="111111"/>
          <w:sz w:val="18"/>
        </w:rPr>
        <w:t>[S08] Asphalt and RAP Deep Research</w:t>
      </w:r>
    </w:p>
    <w:p>
      <w:pPr>
        <w:spacing w:after="80"/>
      </w:pPr>
      <w:r>
        <w:rPr>
          <w:rFonts w:ascii="Arial" w:hAnsi="Arial"/>
          <w:b/>
          <w:i w:val="0"/>
          <w:color w:val="555555"/>
          <w:sz w:val="19"/>
        </w:rPr>
        <w:t xml:space="preserve">Organisation / type: </w:t>
      </w:r>
      <w:r>
        <w:rPr>
          <w:rFonts w:ascii="Arial" w:hAnsi="Arial"/>
          <w:b w:val="0"/>
          <w:i w:val="0"/>
          <w:color w:val="111111"/>
          <w:sz w:val="19"/>
        </w:rPr>
        <w:t>Consolidated research</w:t>
      </w:r>
    </w:p>
    <w:p>
      <w:pPr>
        <w:spacing w:after="80"/>
      </w:pPr>
      <w:r>
        <w:rPr>
          <w:rFonts w:ascii="Arial" w:hAnsi="Arial"/>
          <w:b/>
          <w:i w:val="0"/>
          <w:color w:val="555555"/>
          <w:sz w:val="19"/>
        </w:rPr>
        <w:t xml:space="preserve">Date: </w:t>
      </w:r>
      <w:r>
        <w:rPr>
          <w:rFonts w:ascii="Arial" w:hAnsi="Arial"/>
          <w:b w:val="0"/>
          <w:i w:val="0"/>
          <w:color w:val="111111"/>
          <w:sz w:val="19"/>
        </w:rPr>
        <w:t>2026-08-24</w:t>
      </w:r>
    </w:p>
    <w:p>
      <w:pPr>
        <w:spacing w:after="80"/>
      </w:pPr>
      <w:r>
        <w:rPr>
          <w:rFonts w:ascii="Arial" w:hAnsi="Arial"/>
          <w:b/>
          <w:i w:val="0"/>
          <w:color w:val="555555"/>
          <w:sz w:val="19"/>
        </w:rPr>
        <w:t xml:space="preserve">File: </w:t>
      </w:r>
      <w:r>
        <w:rPr>
          <w:rFonts w:ascii="Arial" w:hAnsi="Arial"/>
          <w:b w:val="0"/>
          <w:i w:val="0"/>
          <w:color w:val="111111"/>
          <w:sz w:val="19"/>
        </w:rPr>
        <w:t>Asphalt-RAP-Deep-Research.pdf</w:t>
      </w:r>
    </w:p>
    <w:p>
      <w:pPr>
        <w:spacing w:after="80"/>
      </w:pPr>
      <w:r>
        <w:rPr>
          <w:rFonts w:ascii="Arial" w:hAnsi="Arial"/>
          <w:b/>
          <w:i w:val="0"/>
          <w:color w:val="555555"/>
          <w:sz w:val="19"/>
        </w:rPr>
        <w:t xml:space="preserve">Supports: </w:t>
      </w:r>
      <w:r>
        <w:rPr>
          <w:rFonts w:ascii="Arial" w:hAnsi="Arial"/>
          <w:b w:val="0"/>
          <w:i w:val="0"/>
          <w:color w:val="111111"/>
          <w:sz w:val="19"/>
        </w:rPr>
        <w:t>Asphalt platform CAPEX, production model, pricing assumptions, risks and conflicts.</w:t>
      </w:r>
    </w:p>
    <w:p>
      <w:pPr>
        <w:keepNext w:val="0"/>
        <w:spacing w:after="160"/>
      </w:pPr>
      <w:r>
        <w:rPr>
          <w:rFonts w:ascii="Arial" w:hAnsi="Arial"/>
          <w:b w:val="0"/>
          <w:i/>
          <w:color w:val="888888"/>
          <w:sz w:val="17"/>
        </w:rPr>
        <w:t>Original external URL is not recorded in the controlling register.</w:t>
      </w:r>
    </w:p>
    <w:p>
      <w:pPr>
        <w:spacing w:after="40"/>
      </w:pPr>
      <w:r>
        <w:rPr>
          <w:rFonts w:ascii="Arial" w:hAnsi="Arial"/>
          <w:b/>
          <w:i w:val="0"/>
          <w:color w:val="111111"/>
          <w:sz w:val="18"/>
        </w:rPr>
        <w:t>[S09] Gray Rock Concrete Business Plan</w:t>
      </w:r>
    </w:p>
    <w:p>
      <w:pPr>
        <w:spacing w:after="80"/>
      </w:pPr>
      <w:r>
        <w:rPr>
          <w:rFonts w:ascii="Arial" w:hAnsi="Arial"/>
          <w:b/>
          <w:i w:val="0"/>
          <w:color w:val="555555"/>
          <w:sz w:val="19"/>
        </w:rPr>
        <w:t xml:space="preserve">Organisation / type: </w:t>
      </w:r>
      <w:r>
        <w:rPr>
          <w:rFonts w:ascii="Arial" w:hAnsi="Arial"/>
          <w:b w:val="0"/>
          <w:i w:val="0"/>
          <w:color w:val="111111"/>
          <w:sz w:val="19"/>
        </w:rPr>
        <w:t>Company proposal</w:t>
      </w:r>
    </w:p>
    <w:p>
      <w:pPr>
        <w:spacing w:after="80"/>
      </w:pPr>
      <w:r>
        <w:rPr>
          <w:rFonts w:ascii="Arial" w:hAnsi="Arial"/>
          <w:b/>
          <w:i w:val="0"/>
          <w:color w:val="555555"/>
          <w:sz w:val="19"/>
        </w:rPr>
        <w:t xml:space="preserve">Date: </w:t>
      </w:r>
      <w:r>
        <w:rPr>
          <w:rFonts w:ascii="Arial" w:hAnsi="Arial"/>
          <w:b w:val="0"/>
          <w:i w:val="0"/>
          <w:color w:val="111111"/>
          <w:sz w:val="19"/>
        </w:rPr>
        <w:t>2026</w:t>
      </w:r>
    </w:p>
    <w:p>
      <w:pPr>
        <w:spacing w:after="80"/>
      </w:pPr>
      <w:r>
        <w:rPr>
          <w:rFonts w:ascii="Arial" w:hAnsi="Arial"/>
          <w:b/>
          <w:i w:val="0"/>
          <w:color w:val="555555"/>
          <w:sz w:val="19"/>
        </w:rPr>
        <w:t xml:space="preserve">File: </w:t>
      </w:r>
      <w:r>
        <w:rPr>
          <w:rFonts w:ascii="Arial" w:hAnsi="Arial"/>
          <w:b w:val="0"/>
          <w:i w:val="0"/>
          <w:color w:val="111111"/>
          <w:sz w:val="19"/>
        </w:rPr>
        <w:t>Gray-Rock-Concrete-Business-Plan.pdf</w:t>
      </w:r>
    </w:p>
    <w:p>
      <w:pPr>
        <w:spacing w:after="80"/>
      </w:pPr>
      <w:r>
        <w:rPr>
          <w:rFonts w:ascii="Arial" w:hAnsi="Arial"/>
          <w:b/>
          <w:i w:val="0"/>
          <w:color w:val="555555"/>
          <w:sz w:val="19"/>
        </w:rPr>
        <w:t xml:space="preserve">Supports: </w:t>
      </w:r>
      <w:r>
        <w:rPr>
          <w:rFonts w:ascii="Arial" w:hAnsi="Arial"/>
          <w:b w:val="0"/>
          <w:i w:val="0"/>
          <w:color w:val="111111"/>
          <w:sz w:val="19"/>
        </w:rPr>
        <w:t>Draft concrete capital, fleet, pricing, capacity, staffing and conflicting figures.</w:t>
      </w:r>
    </w:p>
    <w:p>
      <w:pPr>
        <w:keepNext w:val="0"/>
        <w:spacing w:after="160"/>
      </w:pPr>
      <w:r>
        <w:rPr>
          <w:rFonts w:ascii="Arial" w:hAnsi="Arial"/>
          <w:b w:val="0"/>
          <w:i/>
          <w:color w:val="888888"/>
          <w:sz w:val="17"/>
        </w:rPr>
        <w:t>Original external URL is not recorded in the controlling register.</w:t>
      </w:r>
    </w:p>
    <w:p>
      <w:pPr>
        <w:keepNext w:val="0"/>
        <w:spacing w:after="0"/>
        <w:jc w:val="center"/>
      </w:pPr>
      <w:r>
        <w:rPr>
          <w:rFonts w:ascii="Arial" w:hAnsi="Arial"/>
          <w:b/>
          <w:i w:val="0"/>
          <w:color w:val="888888"/>
          <w:sz w:val="16"/>
        </w:rPr>
        <w:t>END OF REPORT</w:t>
      </w:r>
    </w:p>
    <w:sectPr w:rsidR="00FC693F" w:rsidRPr="0006063C" w:rsidSect="00034616">
      <w:headerReference w:type="default" r:id="rId9"/>
      <w:footerReference w:type="default" r:id="rId10"/>
      <w:pgSz w:w="11906" w:h="16838"/>
      <w:pgMar w:top="1134" w:right="1134" w:bottom="1020" w:left="1134"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i w:val="0"/>
        <w:color w:val="888888"/>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4" w:space="4" w:color="D2D2D2"/>
      </w:pBdr>
    </w:pPr>
    <w:r>
      <w:drawing>
        <wp:inline xmlns:a="http://schemas.openxmlformats.org/drawingml/2006/main" xmlns:pic="http://schemas.openxmlformats.org/drawingml/2006/picture">
          <wp:extent cx="621792" cy="149001"/>
          <wp:docPr id="1" name="Picture 1"/>
          <wp:cNvGraphicFramePr>
            <a:graphicFrameLocks noChangeAspect="1"/>
          </wp:cNvGraphicFramePr>
          <a:graphic>
            <a:graphicData uri="http://schemas.openxmlformats.org/drawingml/2006/picture">
              <pic:pic>
                <pic:nvPicPr>
                  <pic:cNvPr id="0" name="imperial-alfa-mark.png"/>
                  <pic:cNvPicPr/>
                </pic:nvPicPr>
                <pic:blipFill>
                  <a:blip r:embed="rId1"/>
                  <a:stretch>
                    <a:fillRect/>
                  </a:stretch>
                </pic:blipFill>
                <pic:spPr>
                  <a:xfrm>
                    <a:off x="0" y="0"/>
                    <a:ext cx="621792" cy="149001"/>
                  </a:xfrm>
                  <a:prstGeom prst="rect"/>
                </pic:spPr>
              </pic:pic>
            </a:graphicData>
          </a:graphic>
        </wp:inline>
      </w:drawing>
    </w:r>
    <w:r>
      <w:rPr>
        <w:rFonts w:ascii="Arial" w:hAnsi="Arial"/>
        <w:b w:val="0"/>
        <w:i w:val="0"/>
        <w:color w:val="888888"/>
        <w:sz w:val="16"/>
      </w:rPr>
      <w:t xml:space="preserve">   NEW VENTURES   /   FULL RESEARCH   /   31 AUGUST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color w:val="111111"/>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Arial" w:hAnsi="Arial"/>
      <w:b/>
      <w:bCs/>
      <w:color w:val="111111"/>
      <w:sz w:val="36"/>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rial" w:hAnsi="Arial"/>
      <w:b/>
      <w:bCs/>
      <w:color w:val="111111"/>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55555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line="240" w:lineRule="auto" w:before="0"/>
      <w:contextualSpacing/>
    </w:pPr>
    <w:rPr>
      <w:rFonts w:asciiTheme="majorHAnsi" w:eastAsiaTheme="majorEastAsia" w:hAnsiTheme="majorHAnsi" w:cstheme="majorBidi" w:ascii="Arial" w:hAnsi="Arial"/>
      <w:b/>
      <w:color w:val="111111"/>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rial" w:hAnsi="Arial"/>
      <w:b w:val="0"/>
      <w:i/>
      <w:iCs/>
      <w:color w:val="555555"/>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59" w:lineRule="auto"/>
      <w:ind w:left="346" w:hanging="230"/>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59" w:lineRule="auto"/>
      <w:ind w:left="346" w:hanging="230"/>
      <w:contextualSpacing/>
    </w:pPr>
    <w:rPr>
      <w:rFonts w:ascii="Arial" w:hAnsi="Arial"/>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spacing w:after="140"/>
    </w:pPr>
    <w:rPr>
      <w:rFonts w:ascii="Arial" w:hAnsi="Arial"/>
      <w:b/>
      <w:color w:val="88888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Asphalt + Concrete - Consolidated Deep Research</dc:title>
  <dc:subject>Consolidated Deep Research</dc:subject>
  <dc:creator>ALFA New Ventures</dc:creator>
  <cp:keywords>UAE, venture research, decision review, 2026</cp:keywords>
  <dc:description>Built from the controlling data register dated 31 August 2026.</dc:description>
  <cp:lastModifiedBy/>
  <cp:revision>1</cp:revision>
  <dcterms:created xsi:type="dcterms:W3CDTF">2013-12-23T23:15:00Z</dcterms:created>
  <dcterms:modified xsi:type="dcterms:W3CDTF">2013-12-23T23:15:00Z</dcterms:modified>
  <cp:category/>
</cp:coreProperties>
</file>