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V07  /  CONSOLIDATED DEEP RESEARCH</w:t>
      </w:r>
    </w:p>
    <w:p>
      <w:pPr>
        <w:pStyle w:val="Title"/>
        <w:spacing w:after="160"/>
      </w:pPr>
      <w:r>
        <w:t>Aluminium + Facades</w:t>
      </w:r>
    </w:p>
    <w:p>
      <w:pPr>
        <w:keepNext w:val="0"/>
        <w:spacing w:after="360"/>
      </w:pPr>
      <w:r>
        <w:rPr>
          <w:rFonts w:ascii="Arial" w:hAnsi="Arial"/>
          <w:b/>
          <w:i w:val="0"/>
          <w:color w:val="555555"/>
          <w:sz w:val="20"/>
        </w:rPr>
        <w:t>BUILDING ENVELOPE</w:t>
      </w:r>
    </w:p>
    <w:p>
      <w:pPr>
        <w:keepNext w:val="0"/>
        <w:spacing w:after="480"/>
      </w:pPr>
      <w:r>
        <w:rPr>
          <w:rFonts w:ascii="Arial" w:hAnsi="Arial"/>
          <w:b w:val="0"/>
          <w:i w:val="0"/>
          <w:color w:val="252525"/>
          <w:sz w:val="30"/>
        </w:rPr>
        <w:t>Start as a qualified facade integrator, not a factory.</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UAE</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 - asset-light or JV-led; NO-GO full greenfield at entry</w:t>
      </w:r>
    </w:p>
    <w:p>
      <w:pPr>
        <w:spacing w:after="80"/>
      </w:pPr>
      <w:r>
        <w:rPr>
          <w:rFonts w:ascii="Arial" w:hAnsi="Arial"/>
          <w:b/>
          <w:i w:val="0"/>
          <w:color w:val="555555"/>
          <w:sz w:val="19"/>
        </w:rPr>
        <w:t xml:space="preserve">Risk level: </w:t>
      </w:r>
      <w:r>
        <w:rPr>
          <w:rFonts w:ascii="Arial" w:hAnsi="Arial"/>
          <w:b w:val="0"/>
          <w:i w:val="0"/>
          <w:color w:val="111111"/>
          <w:sz w:val="19"/>
        </w:rPr>
        <w:t>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AED 7.82B</w:t>
            </w:r>
          </w:p>
          <w:p>
            <w:pPr>
              <w:spacing w:after="0"/>
            </w:pPr>
            <w:r>
              <w:rPr>
                <w:rFonts w:ascii="Arial" w:hAnsi="Arial"/>
                <w:b/>
                <w:i w:val="0"/>
                <w:color w:val="555555"/>
                <w:sz w:val="14"/>
              </w:rPr>
              <w:t>Broad UAE facade TAM</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1.63-2.63B</w:t>
            </w:r>
          </w:p>
          <w:p>
            <w:pPr>
              <w:spacing w:after="0"/>
            </w:pPr>
            <w:r>
              <w:rPr>
                <w:rFonts w:ascii="Arial" w:hAnsi="Arial"/>
                <w:b/>
                <w:i w:val="0"/>
                <w:color w:val="555555"/>
                <w:sz w:val="14"/>
              </w:rPr>
              <w:t>Curtain-wall SAM proxy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40-70M</w:t>
            </w:r>
          </w:p>
          <w:p>
            <w:pPr>
              <w:spacing w:after="0"/>
            </w:pPr>
            <w:r>
              <w:rPr>
                <w:rFonts w:ascii="Arial" w:hAnsi="Arial"/>
                <w:b/>
                <w:i w:val="0"/>
                <w:color w:val="555555"/>
                <w:sz w:val="14"/>
              </w:rPr>
              <w:t>SOM revenue target</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7.0M</w:t>
            </w:r>
          </w:p>
          <w:p>
            <w:pPr>
              <w:spacing w:after="0"/>
            </w:pPr>
            <w:r>
              <w:rPr>
                <w:rFonts w:ascii="Arial" w:hAnsi="Arial"/>
                <w:b/>
                <w:i w:val="0"/>
                <w:color w:val="555555"/>
                <w:sz w:val="14"/>
              </w:rPr>
              <w:t>Opening investment</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The approved entry is an asset-light facade integrator or JV, not a fully integrated greenfield factory. The platform should control sales, design coordination, procurement, QA and project management while using qualified UAE fabrication and installation partners.</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AED 7.82B</w:t>
            </w:r>
          </w:p>
          <w:p>
            <w:pPr>
              <w:spacing w:after="0"/>
            </w:pPr>
            <w:r>
              <w:rPr>
                <w:rFonts w:ascii="Arial" w:hAnsi="Arial"/>
                <w:b/>
                <w:i w:val="0"/>
                <w:color w:val="555555"/>
                <w:sz w:val="14"/>
              </w:rPr>
              <w:t>Broad UAE facade TAM</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1.63-2.63B</w:t>
            </w:r>
          </w:p>
          <w:p>
            <w:pPr>
              <w:spacing w:after="0"/>
            </w:pPr>
            <w:r>
              <w:rPr>
                <w:rFonts w:ascii="Arial" w:hAnsi="Arial"/>
                <w:b/>
                <w:i w:val="0"/>
                <w:color w:val="555555"/>
                <w:sz w:val="14"/>
              </w:rPr>
              <w:t>Curtain-wall SAM proxy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40-70M</w:t>
            </w:r>
          </w:p>
          <w:p>
            <w:pPr>
              <w:spacing w:after="0"/>
            </w:pPr>
            <w:r>
              <w:rPr>
                <w:rFonts w:ascii="Arial" w:hAnsi="Arial"/>
                <w:b/>
                <w:i w:val="0"/>
                <w:color w:val="555555"/>
                <w:sz w:val="14"/>
              </w:rPr>
              <w:t>SOM revenue target</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7.0M</w:t>
            </w:r>
          </w:p>
          <w:p>
            <w:pPr>
              <w:spacing w:after="0"/>
            </w:pPr>
            <w:r>
              <w:rPr>
                <w:rFonts w:ascii="Arial" w:hAnsi="Arial"/>
                <w:b/>
                <w:i w:val="0"/>
                <w:color w:val="555555"/>
                <w:sz w:val="14"/>
              </w:rPr>
              <w:t>Opening investment</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 - asset-light or JV-led; NO-GO full greenfield at entry</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Control sales, design coordination, procurement, QA and project management while using approved UAE fabrication and installation partners.</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Approved systems, warranty chain, qualified AED20m+ pipeline, operator capability and working-capital controls are required before launch.</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Standalone deep research completed; formal consolidated document and supplier/certification pack pending.</w:t>
            </w:r>
          </w:p>
        </w:tc>
      </w:tr>
    </w:tbl>
    <w:p>
      <w:pPr>
        <w:spacing w:after="40"/>
      </w:pPr>
    </w:p>
    <w:p>
      <w:pPr>
        <w:pStyle w:val="Heading2"/>
      </w:pPr>
      <w:r>
        <w:t>Principal advantages</w:t>
      </w:r>
    </w:p>
    <w:p>
      <w:pPr>
        <w:pStyle w:val="ListBullet"/>
      </w:pPr>
      <w:r>
        <w:t>Start as a qualified facade integrator, not a factory.</w:t>
      </w:r>
    </w:p>
    <w:p>
      <w:pPr>
        <w:pStyle w:val="ListBullet"/>
      </w:pPr>
      <w:r>
        <w:t>The entry model is UAE-wide and project-led. Office, storage and partner locations should follow the qualified project pipeline.</w:t>
      </w:r>
    </w:p>
    <w:p>
      <w:pPr>
        <w:pStyle w:val="ListBullet"/>
      </w:pPr>
      <w:r>
        <w:t>The selected entry model is: Control sales, design coordination, procurement, QA and project management while using approved UAE fabrication and installation partners.</w:t>
      </w:r>
    </w:p>
    <w:p>
      <w:pPr>
        <w:pStyle w:val="Heading2"/>
      </w:pPr>
      <w:r>
        <w:t>Principal weaknesses</w:t>
      </w:r>
    </w:p>
    <w:p>
      <w:pPr>
        <w:pStyle w:val="ListBullet"/>
      </w:pPr>
      <w:r>
        <w:t>Long receivable cycle</w:t>
      </w:r>
    </w:p>
    <w:p>
      <w:pPr>
        <w:pStyle w:val="ListBullet"/>
      </w:pPr>
      <w:r>
        <w:t>Design or installation liability</w:t>
      </w:r>
    </w:p>
    <w:p>
      <w:pPr>
        <w:pStyle w:val="ListBullet"/>
      </w:pPr>
      <w:r>
        <w:t>Unqualified suppliers or broken warranty chain</w:t>
      </w:r>
    </w:p>
    <w:p>
      <w:pPr>
        <w:pStyle w:val="ListBullet"/>
      </w:pPr>
      <w:r>
        <w:t>Bid pipeline without profitable conversion</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Aluminium + Facades. It preserves the current evidence boundary and identifies the commercial proof required before commitment.</w:t>
      </w:r>
    </w:p>
    <w:p>
      <w:pPr>
        <w:pStyle w:val="Heading2"/>
      </w:pPr>
      <w:r>
        <w:t>Customer groups</w:t>
      </w:r>
    </w:p>
    <w:p>
      <w:pPr>
        <w:pStyle w:val="ListBullet"/>
      </w:pPr>
      <w:r>
        <w:t>Main contractors</w:t>
      </w:r>
    </w:p>
    <w:p>
      <w:pPr>
        <w:pStyle w:val="ListBullet"/>
      </w:pPr>
      <w:r>
        <w:t>Developers</w:t>
      </w:r>
    </w:p>
    <w:p>
      <w:pPr>
        <w:pStyle w:val="ListBullet"/>
      </w:pPr>
      <w:r>
        <w:t>Architects and facade consultants</w:t>
      </w:r>
    </w:p>
    <w:p>
      <w:pPr>
        <w:pStyle w:val="ListBullet"/>
      </w:pPr>
      <w:r>
        <w:t>Specialist building-envelope buyers</w:t>
      </w:r>
    </w:p>
    <w:p>
      <w:pPr>
        <w:pStyle w:val="Heading2"/>
      </w:pPr>
      <w:r>
        <w:t>Products or operating segments</w:t>
      </w:r>
    </w:p>
    <w:p>
      <w:pPr>
        <w:pStyle w:val="ListBullet"/>
      </w:pPr>
      <w:r>
        <w:t>Windows and doors</w:t>
      </w:r>
    </w:p>
    <w:p>
      <w:pPr>
        <w:pStyle w:val="ListBullet"/>
      </w:pPr>
      <w:r>
        <w:t>Curtain wall and structural glazing</w:t>
      </w:r>
    </w:p>
    <w:p>
      <w:pPr>
        <w:pStyle w:val="ListBullet"/>
      </w:pPr>
      <w:r>
        <w:t>Shopfronts, balustrades and cladding</w:t>
      </w:r>
    </w:p>
    <w:p>
      <w:pPr>
        <w:pStyle w:val="ListBullet"/>
      </w:pPr>
      <w:r>
        <w:t>Design, procurement, QA and project management</w:t>
      </w:r>
    </w:p>
    <w:p>
      <w:pPr>
        <w:pStyle w:val="Heading2"/>
      </w:pPr>
      <w:r>
        <w:t>Revenue model</w:t>
      </w:r>
    </w:p>
    <w:p>
      <w:pPr>
        <w:pStyle w:val="ListBullet"/>
      </w:pPr>
      <w:r>
        <w:t>Project package revenue</w:t>
      </w:r>
    </w:p>
    <w:p>
      <w:pPr>
        <w:pStyle w:val="ListBullet"/>
      </w:pPr>
      <w:r>
        <w:t>Design and engineering coordination</w:t>
      </w:r>
    </w:p>
    <w:p>
      <w:pPr>
        <w:pStyle w:val="ListBullet"/>
      </w:pPr>
      <w:r>
        <w:t>Procurement margin</w:t>
      </w:r>
    </w:p>
    <w:p>
      <w:pPr>
        <w:pStyle w:val="ListBullet"/>
      </w:pPr>
      <w:r>
        <w:t>Project-management and installation margin</w:t>
      </w:r>
    </w:p>
    <w:p>
      <w:pPr>
        <w:pStyle w:val="Heading2"/>
      </w:pPr>
      <w:r>
        <w:t>Preferred entry model</w:t>
      </w:r>
    </w:p>
    <w:p>
      <w:pPr>
        <w:keepNext w:val="0"/>
        <w:spacing w:after="120"/>
      </w:pPr>
      <w:r>
        <w:rPr>
          <w:rFonts w:ascii="Arial" w:hAnsi="Arial"/>
          <w:b w:val="0"/>
          <w:i w:val="0"/>
          <w:color w:val="111111"/>
          <w:sz w:val="20"/>
        </w:rPr>
        <w:t>Control sales, design coordination, procurement, QA and project management while using approved UAE fabrication and installation partners.</w:t>
      </w:r>
    </w:p>
    <w:p>
      <w:pPr>
        <w:pStyle w:val="Heading2"/>
      </w:pPr>
      <w:r>
        <w:t>Location logic</w:t>
      </w:r>
    </w:p>
    <w:p>
      <w:pPr>
        <w:keepNext w:val="0"/>
        <w:spacing w:after="120"/>
      </w:pPr>
      <w:r>
        <w:rPr>
          <w:rFonts w:ascii="Arial" w:hAnsi="Arial"/>
          <w:b w:val="0"/>
          <w:i w:val="0"/>
          <w:color w:val="111111"/>
          <w:sz w:val="20"/>
        </w:rPr>
        <w:t>The entry model is UAE-wide and project-led. Office, storage and partner locations should follow the qualified project pipeline.</w:t>
      </w:r>
    </w:p>
    <w:p>
      <w:pPr>
        <w:pStyle w:val="Heading1"/>
      </w:pPr>
      <w:r>
        <w:t>Market and demand</w:t>
      </w:r>
    </w:p>
    <w:p>
      <w:pPr>
        <w:keepNext w:val="0"/>
        <w:spacing w:after="80"/>
      </w:pPr>
      <w:r>
        <w:rPr>
          <w:rFonts w:ascii="Arial" w:hAnsi="Arial"/>
          <w:b w:val="0"/>
          <w:i w:val="0"/>
          <w:color w:val="111111"/>
          <w:sz w:val="19"/>
        </w:rPr>
        <w:t>Broad UAE facade market estimate: approximately AED7.82B in 2026.</w:t>
      </w:r>
    </w:p>
    <w:p>
      <w:pPr>
        <w:keepNext w:val="0"/>
        <w:spacing w:after="80"/>
      </w:pPr>
      <w:r>
        <w:rPr>
          <w:rFonts w:ascii="Arial" w:hAnsi="Arial"/>
          <w:b w:val="0"/>
          <w:i w:val="0"/>
          <w:color w:val="111111"/>
          <w:sz w:val="19"/>
        </w:rPr>
        <w:t>Curtain-wall-related SAM proxy: AED1.63-2.63B.</w:t>
      </w:r>
    </w:p>
    <w:p>
      <w:pPr>
        <w:keepNext w:val="0"/>
        <w:spacing w:after="80"/>
      </w:pPr>
      <w:r>
        <w:rPr>
          <w:rFonts w:ascii="Arial" w:hAnsi="Arial"/>
          <w:b w:val="0"/>
          <w:i w:val="0"/>
          <w:color w:val="111111"/>
          <w:sz w:val="19"/>
        </w:rPr>
        <w:t>Modelled Years 3-5 annual revenue target: AED40-70M.</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Opening investment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7.0M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Base case</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Revenue trajectory</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20M / 30M / 42M / 55M / 68M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Years 1-5</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Year-five gross margin</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17%</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Year 5 base case</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Year-five EBITDA margin</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10%</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Year 5 base case</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Five-year IRR - downside/base/upside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-6.5% / 40.6% / 69.0%</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Base equity multiple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5.08x</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x</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Cash required for 60 extra receivable days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6.9M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Year-3 base revenue</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S11</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Indicative capital</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60-100M+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S11</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Modelled Years 3-5 annual revenue target: AED40-70M.</w:t>
      </w:r>
    </w:p>
    <w:p>
      <w:pPr>
        <w:pStyle w:val="ListBullet"/>
      </w:pPr>
      <w:r>
        <w:t>Base asset-light revenue model: AED20M, 30M, 42M, 55M and 68M in Years 1-5.</w:t>
      </w:r>
    </w:p>
    <w:p>
      <w:pPr>
        <w:pStyle w:val="ListBullet"/>
      </w:pPr>
      <w:r>
        <w:t>Base Year-5 gross margin assumption: 17%.</w:t>
      </w:r>
    </w:p>
    <w:p>
      <w:pPr>
        <w:pStyle w:val="ListBullet"/>
      </w:pPr>
      <w:r>
        <w:t>Base Year-5 EBITDA margin assumption: 10%.</w:t>
      </w:r>
    </w:p>
    <w:p>
      <w:pPr>
        <w:pStyle w:val="Heading2"/>
      </w:pPr>
      <w:r>
        <w:t>Cost and return limitations</w:t>
      </w:r>
    </w:p>
    <w:p>
      <w:pPr>
        <w:pStyle w:val="ListBullet"/>
      </w:pPr>
      <w:r>
        <w:t>Approximately 1.5-4.3% of the conservative SAM range.</w:t>
      </w:r>
    </w:p>
    <w:p>
      <w:pPr>
        <w:pStyle w:val="ListBullet"/>
      </w:pPr>
      <w:r>
        <w:t>Supplier, staffing, insurance and guarantee quotations required.</w:t>
      </w:r>
    </w:p>
    <w:p>
      <w:pPr>
        <w:pStyle w:val="ListBullet"/>
      </w:pPr>
      <w:r>
        <w:t>Underwriting case, not forecast.</w:t>
      </w:r>
    </w:p>
    <w:p>
      <w:pPr>
        <w:pStyle w:val="ListBullet"/>
      </w:pPr>
      <w:r>
        <w:t>Requires contract-level pricing and procurement validation.</w:t>
      </w:r>
    </w:p>
    <w:p>
      <w:pPr>
        <w:pStyle w:val="ListBullet"/>
      </w:pPr>
      <w:r>
        <w:t>Not achieved margin.</w:t>
      </w:r>
    </w:p>
    <w:p>
      <w:pPr>
        <w:pStyle w:val="ListBullet"/>
      </w:pPr>
      <w:r>
        <w:t>Requires supplier quotations; not approved route.</w:t>
      </w:r>
    </w:p>
    <w:p>
      <w:r>
        <w:br w:type="page"/>
      </w:r>
    </w:p>
    <w:p>
      <w:pPr>
        <w:pStyle w:val="Heading1"/>
      </w:pPr>
      <w:r>
        <w:t>Operating requirements</w:t>
      </w:r>
    </w:p>
    <w:p>
      <w:pPr>
        <w:pStyle w:val="ListBullet"/>
      </w:pPr>
      <w:r>
        <w:t>Approved system and warranty route</w:t>
      </w:r>
    </w:p>
    <w:p>
      <w:pPr>
        <w:pStyle w:val="ListBullet"/>
      </w:pPr>
      <w:r>
        <w:t>Design and shop-drawing coordination</w:t>
      </w:r>
    </w:p>
    <w:p>
      <w:pPr>
        <w:pStyle w:val="ListBullet"/>
      </w:pPr>
      <w:r>
        <w:t>Supplier and fabrication QA</w:t>
      </w:r>
    </w:p>
    <w:p>
      <w:pPr>
        <w:pStyle w:val="ListBullet"/>
      </w:pPr>
      <w:r>
        <w:t>Installation supervision, certification and collections</w:t>
      </w:r>
    </w:p>
    <w:p>
      <w:pPr>
        <w:pStyle w:val="Heading1"/>
      </w:pPr>
      <w:r>
        <w:t>Regulation and licensing</w:t>
      </w:r>
    </w:p>
    <w:p>
      <w:pPr>
        <w:keepNext w:val="0"/>
        <w:spacing w:after="120"/>
      </w:pPr>
      <w:r>
        <w:rPr>
          <w:rFonts w:ascii="Arial" w:hAnsi="Arial"/>
          <w:b w:val="0"/>
          <w:i w:val="0"/>
          <w:color w:val="111111"/>
          <w:sz w:val="20"/>
        </w:rPr>
        <w:t>Approved systems, engineering responsibility, product certification, warranties and installation compliance must be mapped before bidding.</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Long receivable cycle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Design or installation liability</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Unqualified suppliers or broken warranty chain</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Bid pipeline without profitable conversion</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 - asset-light or JV-led; NO-GO full greenfield at entry</w:t>
      </w:r>
    </w:p>
    <w:p>
      <w:pPr>
        <w:keepNext w:val="0"/>
        <w:spacing w:after="120"/>
      </w:pPr>
      <w:r>
        <w:rPr>
          <w:rFonts w:ascii="Arial" w:hAnsi="Arial"/>
          <w:b w:val="0"/>
          <w:i w:val="0"/>
          <w:color w:val="111111"/>
          <w:sz w:val="20"/>
        </w:rPr>
        <w:t>Control sales, design coordination, procurement, QA and project management while using approved UAE fabrication and installation partners.</w:t>
      </w:r>
    </w:p>
    <w:p>
      <w:pPr>
        <w:keepNext w:val="0"/>
        <w:spacing w:after="120"/>
      </w:pPr>
      <w:r>
        <w:rPr>
          <w:rFonts w:ascii="Arial" w:hAnsi="Arial"/>
          <w:b/>
          <w:i w:val="0"/>
          <w:color w:val="111111"/>
          <w:sz w:val="20"/>
        </w:rPr>
        <w:t>Condition before commitment: Approved systems, warranty chain, qualified AED20m+ pipeline, operator capability and working-capital controls are required before launch.</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Standalone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Research output 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formal DOCX/PDF</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Supplier, Certification and Warranty Pack</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Requires supplier/operator evidence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Obtain</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Entry model</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AED28-40M capital and 12-17% IRR generic case</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AED7M base asset-light opening capital and 40.6% modelled base IRR including terminal value</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Rebuild deck around the asset-light integrator; keep terminal-value warning.</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Greenfield factory</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Greenfield implied as a viable entry option</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NO-GO as initial entry; AED60-100M+ modelled capital</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Show only as a later-stage option after demand proof.</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V07-C01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Broad UAE facade TAM</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7.82B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S11. Definition risk; broader than curtain wall.</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V07-C02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Curtain-wall SAM proxy</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1.63-2.63B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S11. Triangulated from two industry estimates.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V07-C03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SOM revenue target</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40-70M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Years 3-5</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S11. Approximately 1.5-4.3% of the conservative SAM range.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V07-C04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Opening investment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7.0M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Base case</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S11. Supplier, staffing, insurance and guarantee quotations required.</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V07-C05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Revenue trajectory</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20M / 30M / 42M / 55M / 68M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Years 1-5</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S11. Underwriting case, not forecast.</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V07-C06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Year-five gross margin</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17%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Year 5 base case</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S11. Requires contract-level pricing and procurement validation.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V07-C07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Year-five EBITDA margin</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10%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Year 5 base case</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S11. Not achieved margin.</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V07-C08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Five-year IRR - downside/base/upside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-6.5% / 40.6% / 69.0%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S11. Base includes a 4x Year-5 EBITDA terminal value.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V07-C09</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Base equity multiple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5.08x x</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Five-year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S11. Not a guaranteed outcome.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V07-C10</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Cash required for 60 extra receivable days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6.9M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Year-3 base revenue</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S11. Primary financial risk.</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V07-C11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Indicative capital</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60-100M+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S11. Requires supplier quotations; not approved route.</w:t>
            </w:r>
          </w:p>
        </w:tc>
      </w:tr>
    </w:tbl>
    <w:p>
      <w:pPr>
        <w:spacing w:after="40"/>
      </w:pPr>
    </w:p>
    <w:p>
      <w:pPr>
        <w:pStyle w:val="Heading1"/>
      </w:pPr>
      <w:r>
        <w:t>Source register</w:t>
      </w:r>
    </w:p>
    <w:p>
      <w:pPr>
        <w:spacing w:after="40"/>
      </w:pPr>
      <w:r>
        <w:rPr>
          <w:rFonts w:ascii="Arial" w:hAnsi="Arial"/>
          <w:b/>
          <w:i w:val="0"/>
          <w:color w:val="111111"/>
          <w:sz w:val="18"/>
        </w:rPr>
        <w:t>[S11] UAE Aluminium, Glazing and Facade Business</w:t>
      </w:r>
    </w:p>
    <w:p>
      <w:pPr>
        <w:spacing w:after="80"/>
      </w:pPr>
      <w:r>
        <w:rPr>
          <w:rFonts w:ascii="Arial" w:hAnsi="Arial"/>
          <w:b/>
          <w:i w:val="0"/>
          <w:color w:val="555555"/>
          <w:sz w:val="19"/>
        </w:rPr>
        <w:t xml:space="preserve">Organisation / type: </w:t>
      </w:r>
      <w:r>
        <w:rPr>
          <w:rFonts w:ascii="Arial" w:hAnsi="Arial"/>
          <w:b w:val="0"/>
          <w:i w:val="0"/>
          <w:color w:val="111111"/>
          <w:sz w:val="19"/>
        </w:rPr>
        <w:t>Completed Deep Research</w:t>
      </w:r>
    </w:p>
    <w:p>
      <w:pPr>
        <w:spacing w:after="80"/>
      </w:pPr>
      <w:r>
        <w:rPr>
          <w:rFonts w:ascii="Arial" w:hAnsi="Arial"/>
          <w:b/>
          <w:i w:val="0"/>
          <w:color w:val="555555"/>
          <w:sz w:val="19"/>
        </w:rPr>
        <w:t xml:space="preserve">Date: </w:t>
      </w:r>
      <w:r>
        <w:rPr>
          <w:rFonts w:ascii="Arial" w:hAnsi="Arial"/>
          <w:b w:val="0"/>
          <w:i w:val="0"/>
          <w:color w:val="111111"/>
          <w:sz w:val="19"/>
        </w:rPr>
        <w:t>2026-08-31</w:t>
      </w:r>
    </w:p>
    <w:p>
      <w:pPr>
        <w:spacing w:after="80"/>
      </w:pPr>
      <w:r>
        <w:rPr>
          <w:rFonts w:ascii="Arial" w:hAnsi="Arial"/>
          <w:b/>
          <w:i w:val="0"/>
          <w:color w:val="555555"/>
          <w:sz w:val="19"/>
        </w:rPr>
        <w:t xml:space="preserve">File: </w:t>
      </w:r>
      <w:r>
        <w:rPr>
          <w:rFonts w:ascii="Arial" w:hAnsi="Arial"/>
          <w:b w:val="0"/>
          <w:i w:val="0"/>
          <w:color w:val="111111"/>
          <w:sz w:val="19"/>
        </w:rPr>
        <w:t>Pasted text (4).txt</w:t>
      </w:r>
    </w:p>
    <w:p>
      <w:pPr>
        <w:spacing w:after="80"/>
      </w:pPr>
      <w:r>
        <w:rPr>
          <w:rFonts w:ascii="Arial" w:hAnsi="Arial"/>
          <w:b/>
          <w:i w:val="0"/>
          <w:color w:val="555555"/>
          <w:sz w:val="19"/>
        </w:rPr>
        <w:t xml:space="preserve">Supports: </w:t>
      </w:r>
      <w:r>
        <w:rPr>
          <w:rFonts w:ascii="Arial" w:hAnsi="Arial"/>
          <w:b w:val="0"/>
          <w:i w:val="0"/>
          <w:color w:val="111111"/>
          <w:sz w:val="19"/>
        </w:rPr>
        <w:t>Market range, entry models, asset-light economics, working capital and no-go greenfield conclusion.</w:t>
      </w:r>
    </w:p>
    <w:p>
      <w:pPr>
        <w:spacing w:after="160"/>
      </w:pPr>
      <w:hyperlink r:id="rId11">
        <w:r>
          <w:rPr>
            <w:color w:val="111111"/>
            <w:u w:val="single"/>
          </w:rPr>
          <w:t>https://www.mordorintelligence.com/industry-reports/uae-facade-market</w:t>
        </w:r>
      </w:hyperlink>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ordorintelligence.com/industry-reports/uae-facade-mark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Aluminium + Facades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