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after="800"/>
      </w:pPr>
      <w:r>
        <w:rPr>
          <w:rFonts w:ascii="Arial" w:hAnsi="Arial"/>
          <w:b/>
          <w:i w:val="0"/>
          <w:color w:val="888888"/>
          <w:sz w:val="16"/>
        </w:rPr>
        <w:t>V02  /  CONSOLIDATED DEEP RESEARCH</w:t>
      </w:r>
    </w:p>
    <w:p>
      <w:pPr>
        <w:spacing w:after="280"/>
      </w:pPr>
      <w:r>
        <w:drawing>
          <wp:inline xmlns:a="http://schemas.openxmlformats.org/drawingml/2006/main" xmlns:pic="http://schemas.openxmlformats.org/drawingml/2006/picture">
            <wp:extent cx="2414559" cy="384048"/>
            <wp:docPr id="1" name="Picture 1"/>
            <wp:cNvGraphicFramePr>
              <a:graphicFrameLocks noChangeAspect="1"/>
            </wp:cNvGraphicFramePr>
            <a:graphic>
              <a:graphicData uri="http://schemas.openxmlformats.org/drawingml/2006/picture">
                <pic:pic>
                  <pic:nvPicPr>
                    <pic:cNvPr id="0" name="alfa-home.png"/>
                    <pic:cNvPicPr/>
                  </pic:nvPicPr>
                  <pic:blipFill>
                    <a:blip r:embed="rId11"/>
                    <a:stretch>
                      <a:fillRect/>
                    </a:stretch>
                  </pic:blipFill>
                  <pic:spPr>
                    <a:xfrm>
                      <a:off x="0" y="0"/>
                      <a:ext cx="2414559" cy="384048"/>
                    </a:xfrm>
                    <a:prstGeom prst="rect"/>
                  </pic:spPr>
                </pic:pic>
              </a:graphicData>
            </a:graphic>
          </wp:inline>
        </w:drawing>
      </w:r>
    </w:p>
    <w:p>
      <w:pPr>
        <w:pStyle w:val="Title"/>
        <w:spacing w:after="160"/>
      </w:pPr>
      <w:r>
        <w:t>Alfa Home</w:t>
      </w:r>
    </w:p>
    <w:p>
      <w:pPr>
        <w:keepNext w:val="0"/>
        <w:spacing w:after="360"/>
      </w:pPr>
      <w:r>
        <w:rPr>
          <w:rFonts w:ascii="Arial" w:hAnsi="Arial"/>
          <w:b/>
          <w:i w:val="0"/>
          <w:color w:val="555555"/>
          <w:sz w:val="20"/>
        </w:rPr>
        <w:t>BRANDED REAL ESTATE AND FURNITURE</w:t>
      </w:r>
    </w:p>
    <w:p>
      <w:pPr>
        <w:keepNext w:val="0"/>
        <w:spacing w:after="480"/>
      </w:pPr>
      <w:r>
        <w:rPr>
          <w:rFonts w:ascii="Arial" w:hAnsi="Arial"/>
          <w:b w:val="0"/>
          <w:i w:val="0"/>
          <w:color w:val="252525"/>
          <w:sz w:val="30"/>
        </w:rPr>
        <w:t>Three independent engines under one Alfa Home brand; returns remain property-specific.</w:t>
      </w:r>
    </w:p>
    <w:p>
      <w:pPr>
        <w:spacing w:before="40" w:after="360"/>
        <w:pBdr>
          <w:bottom w:val="single" w:sz="8" w:space="1" w:color="111111"/>
        </w:pBdr>
      </w:pPr>
    </w:p>
    <w:p>
      <w:pPr>
        <w:spacing w:after="80"/>
      </w:pPr>
      <w:r>
        <w:rPr>
          <w:rFonts w:ascii="Arial" w:hAnsi="Arial"/>
          <w:b/>
          <w:i w:val="0"/>
          <w:color w:val="555555"/>
          <w:sz w:val="19"/>
        </w:rPr>
        <w:t xml:space="preserve">Geographic scope: </w:t>
      </w:r>
      <w:r>
        <w:rPr>
          <w:rFonts w:ascii="Arial" w:hAnsi="Arial"/>
          <w:b w:val="0"/>
          <w:i w:val="0"/>
          <w:color w:val="111111"/>
          <w:sz w:val="19"/>
        </w:rPr>
        <w:t>UAE</w:t>
      </w:r>
    </w:p>
    <w:p>
      <w:pPr>
        <w:spacing w:after="80"/>
      </w:pPr>
      <w:r>
        <w:rPr>
          <w:rFonts w:ascii="Arial" w:hAnsi="Arial"/>
          <w:b/>
          <w:i w:val="0"/>
          <w:color w:val="555555"/>
          <w:sz w:val="19"/>
        </w:rPr>
        <w:t xml:space="preserve">Data cut-off: </w:t>
      </w:r>
      <w:r>
        <w:rPr>
          <w:rFonts w:ascii="Arial" w:hAnsi="Arial"/>
          <w:b w:val="0"/>
          <w:i w:val="0"/>
          <w:color w:val="111111"/>
          <w:sz w:val="19"/>
        </w:rPr>
        <w:t>31 August 2026</w:t>
      </w:r>
    </w:p>
    <w:p>
      <w:pPr>
        <w:spacing w:after="80"/>
      </w:pPr>
      <w:r>
        <w:rPr>
          <w:rFonts w:ascii="Arial" w:hAnsi="Arial"/>
          <w:b/>
          <w:i w:val="0"/>
          <w:color w:val="555555"/>
          <w:sz w:val="19"/>
        </w:rPr>
        <w:t xml:space="preserve">Decision: </w:t>
      </w:r>
      <w:r>
        <w:rPr>
          <w:rFonts w:ascii="Arial" w:hAnsi="Arial"/>
          <w:b w:val="0"/>
          <w:i w:val="0"/>
          <w:color w:val="111111"/>
          <w:sz w:val="19"/>
        </w:rPr>
        <w:t>CONDITIONAL GO</w:t>
      </w:r>
    </w:p>
    <w:p>
      <w:pPr>
        <w:spacing w:after="80"/>
      </w:pPr>
      <w:r>
        <w:rPr>
          <w:rFonts w:ascii="Arial" w:hAnsi="Arial"/>
          <w:b/>
          <w:i w:val="0"/>
          <w:color w:val="555555"/>
          <w:sz w:val="19"/>
        </w:rPr>
        <w:t xml:space="preserve">Risk level: </w:t>
      </w:r>
      <w:r>
        <w:rPr>
          <w:rFonts w:ascii="Arial" w:hAnsi="Arial"/>
          <w:b w:val="0"/>
          <w:i w:val="0"/>
          <w:color w:val="111111"/>
          <w:sz w:val="19"/>
        </w:rPr>
        <w:t>Medium-High</w:t>
      </w:r>
    </w:p>
    <w:p>
      <w:pPr>
        <w:spacing w:after="80"/>
      </w:pPr>
      <w:r>
        <w:rPr>
          <w:rFonts w:ascii="Arial" w:hAnsi="Arial"/>
          <w:b/>
          <w:i w:val="0"/>
          <w:color w:val="555555"/>
          <w:sz w:val="19"/>
        </w:rPr>
        <w:t xml:space="preserve">Controlling source: </w:t>
      </w:r>
      <w:r>
        <w:rPr>
          <w:rFonts w:ascii="Arial" w:hAnsi="Arial"/>
          <w:b w:val="0"/>
          <w:i w:val="0"/>
          <w:color w:val="111111"/>
          <w:sz w:val="19"/>
        </w:rPr>
        <w:t>ALFA New Ventures Master Data Register v1.0</w:t>
      </w:r>
    </w:p>
    <w:p>
      <w:pPr>
        <w:keepNext w:val="0"/>
        <w:spacing w:after="480"/>
      </w:pPr>
      <w:r>
        <w:rPr>
          <w:rFonts w:ascii="Arial" w:hAnsi="Arial"/>
          <w:b w:val="0"/>
          <w:i/>
          <w:color w:val="888888"/>
          <w:sz w:val="18"/>
        </w:rPr>
        <w:t>Consolidated from completed research and locked evidence. Internal decision review.</w:t>
      </w:r>
    </w:p>
    <w:tbl>
      <w:tblPr>
        <w:tblStyle w:val="TableGrid"/>
        <w:tblW w:type="dxa" w:w="9640"/>
        <w:jc w:val="left"/>
        <w:tblLayout w:type="fixed"/>
        <w:tblLook w:firstColumn="1" w:firstRow="1" w:lastColumn="0" w:lastRow="0" w:noHBand="0" w:noVBand="1" w:val="04A0"/>
        <w:tblInd w:w="0" w:type="dxa"/>
      </w:tblPr>
      <w:tblGrid>
        <w:gridCol w:w="2410"/>
        <w:gridCol w:w="2410"/>
        <w:gridCol w:w="2410"/>
        <w:gridCol w:w="2410"/>
      </w:tblGrid>
      <w:tr>
        <w:trPr>
          <w:cantSplit/>
        </w:trPr>
        <w:tc>
          <w:tcPr>
            <w:tcW w:type="dxa" w:w="2410"/>
            <w:shd w:fill="F3F3F3"/>
            <w:tcMar>
              <w:top w:w="90" w:type="dxa"/>
              <w:start w:w="120" w:type="dxa"/>
              <w:bottom w:w="90" w:type="dxa"/>
              <w:end w:w="120" w:type="dxa"/>
            </w:tcMar>
          </w:tcPr>
          <w:p>
            <w:pPr>
              <w:spacing w:after="60"/>
            </w:pPr>
            <w:r>
              <w:rPr>
                <w:rFonts w:ascii="Arial" w:hAnsi="Arial"/>
                <w:b/>
                <w:i w:val="0"/>
                <w:color w:val="111111"/>
                <w:sz w:val="30"/>
              </w:rPr>
              <w:t>3</w:t>
            </w:r>
          </w:p>
          <w:p>
            <w:pPr>
              <w:spacing w:after="0"/>
            </w:pPr>
            <w:r>
              <w:rPr>
                <w:rFonts w:ascii="Arial" w:hAnsi="Arial"/>
                <w:b/>
                <w:i w:val="0"/>
                <w:color w:val="555555"/>
                <w:sz w:val="14"/>
              </w:rPr>
              <w:t>Business engines</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20-50M</w:t>
            </w:r>
          </w:p>
          <w:p>
            <w:pPr>
              <w:spacing w:after="0"/>
            </w:pPr>
            <w:r>
              <w:rPr>
                <w:rFonts w:ascii="Arial" w:hAnsi="Arial"/>
                <w:b/>
                <w:i w:val="0"/>
                <w:color w:val="555555"/>
                <w:sz w:val="14"/>
              </w:rPr>
              <w:t>Preferred acquisition range</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12-15 months</w:t>
            </w:r>
          </w:p>
          <w:p>
            <w:pPr>
              <w:spacing w:after="0"/>
            </w:pPr>
            <w:r>
              <w:rPr>
                <w:rFonts w:ascii="Arial" w:hAnsi="Arial"/>
                <w:b/>
                <w:i w:val="0"/>
                <w:color w:val="555555"/>
                <w:sz w:val="14"/>
              </w:rPr>
              <w:t>Target cycle</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435</w:t>
            </w:r>
          </w:p>
          <w:p>
            <w:pPr>
              <w:spacing w:after="0"/>
            </w:pPr>
            <w:r>
              <w:rPr>
                <w:rFonts w:ascii="Arial" w:hAnsi="Arial"/>
                <w:b/>
                <w:i w:val="0"/>
                <w:color w:val="555555"/>
                <w:sz w:val="14"/>
              </w:rPr>
              <w:t>Dubai transactions above USD10M</w:t>
            </w:r>
          </w:p>
        </w:tc>
      </w:tr>
    </w:tbl>
    <w:p>
      <w:pPr>
        <w:spacing w:after="60"/>
      </w:pPr>
    </w:p>
    <w:p>
      <w:pPr>
        <w:keepNext w:val="0"/>
        <w:spacing w:after="80"/>
      </w:pPr>
      <w:r>
        <w:rPr>
          <w:rFonts w:ascii="Arial" w:hAnsi="Arial"/>
          <w:b/>
          <w:i w:val="0"/>
          <w:color w:val="888888"/>
          <w:sz w:val="16"/>
        </w:rPr>
        <w:t>Evidence rule</w:t>
      </w:r>
    </w:p>
    <w:p>
      <w:pPr>
        <w:keepNext w:val="0"/>
        <w:spacing w:after="0"/>
      </w:pPr>
      <w:r>
        <w:rPr>
          <w:rFonts w:ascii="Arial" w:hAnsi="Arial"/>
          <w:b w:val="0"/>
          <w:i w:val="0"/>
          <w:color w:val="555555"/>
          <w:sz w:val="18"/>
        </w:rPr>
        <w:t>Published facts, company-reported figures, calculations and modelled assumptions remain separately labelled. Missing quotations, contracts and live operating evidence have not been invented.</w:t>
      </w:r>
    </w:p>
    <w:p>
      <w:r>
        <w:br w:type="page"/>
      </w:r>
    </w:p>
    <w:p>
      <w:pPr>
        <w:pStyle w:val="Heading1"/>
      </w:pPr>
      <w:r>
        <w:t>Report map</w:t>
      </w:r>
    </w:p>
    <w:tbl>
      <w:tblPr>
        <w:tblStyle w:val="TableGrid"/>
        <w:tblW w:type="dxa" w:w="9640"/>
        <w:tblLayout w:type="fixed"/>
        <w:tblLook w:firstColumn="1" w:firstRow="1" w:lastColumn="0" w:lastRow="0" w:noHBand="0" w:noVBand="1" w:val="04A0"/>
        <w:jc w:val="left"/>
        <w:tblInd w:w="0" w:type="dxa"/>
      </w:tblPr>
      <w:tblGrid>
        <w:gridCol w:w="1300"/>
        <w:gridCol w:w="8340"/>
      </w:tblGrid>
      <w:tr>
        <w:trPr>
          <w:cantSplit/>
          <w:tblHeader w:val="true"/>
          <w:cantSplit/>
        </w:trPr>
        <w:tc>
          <w:tcPr>
            <w:tcW w:type="dxa" w:w="1300"/>
            <w:tcMar>
              <w:top w:w="90" w:type="dxa"/>
              <w:start w:w="120" w:type="dxa"/>
              <w:bottom w:w="90" w:type="dxa"/>
              <w:end w:w="120" w:type="dxa"/>
            </w:tcMar>
            <w:shd w:fill="111111"/>
            <w:vAlign w:val="center"/>
          </w:tcPr>
          <w:p>
            <w:pPr>
              <w:spacing w:after="0"/>
            </w:pPr>
            <w:r>
              <w:rPr>
                <w:rFonts w:ascii="Arial" w:hAnsi="Arial"/>
                <w:b/>
                <w:i w:val="0"/>
                <w:color w:val="FFFFFF"/>
                <w:sz w:val="18"/>
              </w:rPr>
              <w:t>SECTION</w:t>
            </w:r>
          </w:p>
        </w:tc>
        <w:tc>
          <w:tcPr>
            <w:tcW w:type="dxa" w:w="8340"/>
            <w:tcMar>
              <w:top w:w="90" w:type="dxa"/>
              <w:start w:w="120" w:type="dxa"/>
              <w:bottom w:w="90" w:type="dxa"/>
              <w:end w:w="120" w:type="dxa"/>
            </w:tcMar>
            <w:shd w:fill="111111"/>
            <w:vAlign w:val="center"/>
          </w:tcPr>
          <w:p>
            <w:pPr>
              <w:spacing w:after="0"/>
            </w:pPr>
            <w:r>
              <w:rPr>
                <w:rFonts w:ascii="Arial" w:hAnsi="Arial"/>
                <w:b/>
                <w:i w:val="0"/>
                <w:color w:val="FFFFFF"/>
                <w:sz w:val="18"/>
              </w:rPr>
              <w:t>CONTENT</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01</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Decision and scope</w:t>
            </w:r>
          </w:p>
        </w:tc>
      </w:tr>
      <w:tr>
        <w:trPr>
          <w:cantSplit/>
          <w:cantSplit/>
        </w:trPr>
        <w:tc>
          <w:tcPr>
            <w:tcW w:type="dxa" w:w="1300"/>
            <w:shd w:fill="FFFFFF"/>
            <w:vAlign w:val="top"/>
            <w:tcMar>
              <w:top w:w="90" w:type="dxa"/>
              <w:start w:w="120" w:type="dxa"/>
              <w:bottom w:w="90" w:type="dxa"/>
              <w:end w:w="120" w:type="dxa"/>
            </w:tcMar>
          </w:tcPr>
          <w:p>
            <w:pPr>
              <w:spacing w:after="0"/>
            </w:pPr>
            <w:r>
              <w:rPr>
                <w:rFonts w:ascii="Arial" w:hAnsi="Arial"/>
                <w:b/>
                <w:i w:val="0"/>
                <w:color w:val="111111"/>
                <w:sz w:val="18"/>
              </w:rPr>
              <w:t>02</w:t>
            </w:r>
          </w:p>
        </w:tc>
        <w:tc>
          <w:tcPr>
            <w:tcW w:type="dxa" w:w="8340"/>
            <w:shd w:fill="FFFFFF"/>
            <w:vAlign w:val="top"/>
            <w:tcMar>
              <w:top w:w="90" w:type="dxa"/>
              <w:start w:w="120" w:type="dxa"/>
              <w:bottom w:w="90" w:type="dxa"/>
              <w:end w:w="120" w:type="dxa"/>
            </w:tcMar>
          </w:tcPr>
          <w:p>
            <w:pPr>
              <w:spacing w:after="0"/>
            </w:pPr>
            <w:r>
              <w:rPr>
                <w:rFonts w:ascii="Arial" w:hAnsi="Arial"/>
                <w:b w:val="0"/>
                <w:i w:val="0"/>
                <w:color w:val="111111"/>
                <w:sz w:val="18"/>
              </w:rPr>
              <w:t>Business model and market</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03</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Commercial model, capital and returns</w:t>
            </w:r>
          </w:p>
        </w:tc>
      </w:tr>
      <w:tr>
        <w:trPr>
          <w:cantSplit/>
          <w:cantSplit/>
        </w:trPr>
        <w:tc>
          <w:tcPr>
            <w:tcW w:type="dxa" w:w="1300"/>
            <w:shd w:fill="FFFFFF"/>
            <w:vAlign w:val="top"/>
            <w:tcMar>
              <w:top w:w="90" w:type="dxa"/>
              <w:start w:w="120" w:type="dxa"/>
              <w:bottom w:w="90" w:type="dxa"/>
              <w:end w:w="120" w:type="dxa"/>
            </w:tcMar>
          </w:tcPr>
          <w:p>
            <w:pPr>
              <w:spacing w:after="0"/>
            </w:pPr>
            <w:r>
              <w:rPr>
                <w:rFonts w:ascii="Arial" w:hAnsi="Arial"/>
                <w:b/>
                <w:i w:val="0"/>
                <w:color w:val="111111"/>
                <w:sz w:val="18"/>
              </w:rPr>
              <w:t>04</w:t>
            </w:r>
          </w:p>
        </w:tc>
        <w:tc>
          <w:tcPr>
            <w:tcW w:type="dxa" w:w="8340"/>
            <w:shd w:fill="FFFFFF"/>
            <w:vAlign w:val="top"/>
            <w:tcMar>
              <w:top w:w="90" w:type="dxa"/>
              <w:start w:w="120" w:type="dxa"/>
              <w:bottom w:w="90" w:type="dxa"/>
              <w:end w:w="120" w:type="dxa"/>
            </w:tcMar>
          </w:tcPr>
          <w:p>
            <w:pPr>
              <w:spacing w:after="0"/>
            </w:pPr>
            <w:r>
              <w:rPr>
                <w:rFonts w:ascii="Arial" w:hAnsi="Arial"/>
                <w:b w:val="0"/>
                <w:i w:val="0"/>
                <w:color w:val="111111"/>
                <w:sz w:val="18"/>
              </w:rPr>
              <w:t>Operations, regulation and risks</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05</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Diligence, conflicts and evidence register</w:t>
            </w:r>
          </w:p>
        </w:tc>
      </w:tr>
    </w:tbl>
    <w:p>
      <w:pPr>
        <w:spacing w:after="40"/>
      </w:pPr>
    </w:p>
    <w:p>
      <w:pPr>
        <w:keepNext w:val="0"/>
        <w:spacing w:after="120"/>
      </w:pPr>
      <w:r>
        <w:rPr>
          <w:rFonts w:ascii="Arial" w:hAnsi="Arial"/>
          <w:b w:val="0"/>
          <w:i w:val="0"/>
          <w:color w:val="555555"/>
          <w:sz w:val="18"/>
        </w:rPr>
        <w:t>Use Word's navigation pane to move through the heading hierarchy. Every material figure is repeated in the claim register with its evidence classification and source reference.</w:t>
      </w:r>
    </w:p>
    <w:p>
      <w:pPr>
        <w:pStyle w:val="Heading1"/>
      </w:pPr>
      <w:r>
        <w:t>Executive summary</w:t>
      </w:r>
    </w:p>
    <w:p>
      <w:pPr>
        <w:keepNext w:val="0"/>
        <w:spacing w:after="200"/>
      </w:pPr>
      <w:r>
        <w:rPr>
          <w:rFonts w:ascii="Arial" w:hAnsi="Arial"/>
          <w:b w:val="0"/>
          <w:i w:val="0"/>
          <w:color w:val="111111"/>
          <w:sz w:val="22"/>
        </w:rPr>
        <w:t>Alfa Home is one brand with three separable engines: the existing UAE rental portfolio, villa acquisition and value-add, and furniture production. The engines can reinforce one another, but each must retain its own capital account, operating KPIs and return model.</w:t>
      </w:r>
    </w:p>
    <w:tbl>
      <w:tblPr>
        <w:tblStyle w:val="TableGrid"/>
        <w:tblW w:type="dxa" w:w="9640"/>
        <w:jc w:val="left"/>
        <w:tblLayout w:type="fixed"/>
        <w:tblLook w:firstColumn="1" w:firstRow="1" w:lastColumn="0" w:lastRow="0" w:noHBand="0" w:noVBand="1" w:val="04A0"/>
        <w:tblInd w:w="0" w:type="dxa"/>
      </w:tblPr>
      <w:tblGrid>
        <w:gridCol w:w="2410"/>
        <w:gridCol w:w="2410"/>
        <w:gridCol w:w="2410"/>
        <w:gridCol w:w="2410"/>
      </w:tblGrid>
      <w:tr>
        <w:trPr>
          <w:cantSplit/>
        </w:trPr>
        <w:tc>
          <w:tcPr>
            <w:tcW w:type="dxa" w:w="2410"/>
            <w:shd w:fill="F3F3F3"/>
            <w:tcMar>
              <w:top w:w="90" w:type="dxa"/>
              <w:start w:w="120" w:type="dxa"/>
              <w:bottom w:w="90" w:type="dxa"/>
              <w:end w:w="120" w:type="dxa"/>
            </w:tcMar>
          </w:tcPr>
          <w:p>
            <w:pPr>
              <w:spacing w:after="60"/>
            </w:pPr>
            <w:r>
              <w:rPr>
                <w:rFonts w:ascii="Arial" w:hAnsi="Arial"/>
                <w:b/>
                <w:i w:val="0"/>
                <w:color w:val="111111"/>
                <w:sz w:val="30"/>
              </w:rPr>
              <w:t>3</w:t>
            </w:r>
          </w:p>
          <w:p>
            <w:pPr>
              <w:spacing w:after="0"/>
            </w:pPr>
            <w:r>
              <w:rPr>
                <w:rFonts w:ascii="Arial" w:hAnsi="Arial"/>
                <w:b/>
                <w:i w:val="0"/>
                <w:color w:val="555555"/>
                <w:sz w:val="14"/>
              </w:rPr>
              <w:t>Business engines</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20-50M</w:t>
            </w:r>
          </w:p>
          <w:p>
            <w:pPr>
              <w:spacing w:after="0"/>
            </w:pPr>
            <w:r>
              <w:rPr>
                <w:rFonts w:ascii="Arial" w:hAnsi="Arial"/>
                <w:b/>
                <w:i w:val="0"/>
                <w:color w:val="555555"/>
                <w:sz w:val="14"/>
              </w:rPr>
              <w:t>Preferred acquisition range</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12-15 months</w:t>
            </w:r>
          </w:p>
          <w:p>
            <w:pPr>
              <w:spacing w:after="0"/>
            </w:pPr>
            <w:r>
              <w:rPr>
                <w:rFonts w:ascii="Arial" w:hAnsi="Arial"/>
                <w:b/>
                <w:i w:val="0"/>
                <w:color w:val="555555"/>
                <w:sz w:val="14"/>
              </w:rPr>
              <w:t>Target cycle</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435</w:t>
            </w:r>
          </w:p>
          <w:p>
            <w:pPr>
              <w:spacing w:after="0"/>
            </w:pPr>
            <w:r>
              <w:rPr>
                <w:rFonts w:ascii="Arial" w:hAnsi="Arial"/>
                <w:b/>
                <w:i w:val="0"/>
                <w:color w:val="555555"/>
                <w:sz w:val="14"/>
              </w:rPr>
              <w:t>Dubai transactions above USD10M</w:t>
            </w:r>
          </w:p>
        </w:tc>
      </w:tr>
    </w:tbl>
    <w:p>
      <w:pPr>
        <w:spacing w:after="60"/>
      </w:pPr>
    </w:p>
    <w:tbl>
      <w:tblPr>
        <w:tblStyle w:val="TableGrid"/>
        <w:tblW w:type="dxa" w:w="9640"/>
        <w:tblLayout w:type="fixed"/>
        <w:tblLook w:firstColumn="1" w:firstRow="1" w:lastColumn="0" w:lastRow="0" w:noHBand="0" w:noVBand="1" w:val="04A0"/>
        <w:jc w:val="left"/>
        <w:tblInd w:w="0" w:type="dxa"/>
      </w:tblPr>
      <w:tblGrid>
        <w:gridCol w:w="2300"/>
        <w:gridCol w:w="7340"/>
      </w:tblGrid>
      <w:tr>
        <w:trPr>
          <w:cantSplit/>
          <w:tblHeader w:val="true"/>
          <w:cantSplit/>
        </w:trPr>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7"/>
              </w:rPr>
              <w:t>DECISION ITEM</w:t>
            </w:r>
          </w:p>
        </w:tc>
        <w:tc>
          <w:tcPr>
            <w:tcW w:type="dxa" w:w="7340"/>
            <w:tcMar>
              <w:top w:w="90" w:type="dxa"/>
              <w:start w:w="120" w:type="dxa"/>
              <w:bottom w:w="90" w:type="dxa"/>
              <w:end w:w="120" w:type="dxa"/>
            </w:tcMar>
            <w:shd w:fill="111111"/>
            <w:vAlign w:val="center"/>
          </w:tcPr>
          <w:p>
            <w:pPr>
              <w:spacing w:after="0"/>
            </w:pPr>
            <w:r>
              <w:rPr>
                <w:rFonts w:ascii="Arial" w:hAnsi="Arial"/>
                <w:b/>
                <w:i w:val="0"/>
                <w:color w:val="FFFFFF"/>
                <w:sz w:val="17"/>
              </w:rPr>
              <w:t>LOCKED POSITION</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7"/>
              </w:rPr>
              <w:t>Decision</w:t>
            </w:r>
          </w:p>
        </w:tc>
        <w:tc>
          <w:tcPr>
            <w:tcW w:type="dxa" w:w="7340"/>
            <w:shd w:fill="F3F3F3"/>
            <w:vAlign w:val="top"/>
            <w:tcMar>
              <w:top w:w="90" w:type="dxa"/>
              <w:start w:w="120" w:type="dxa"/>
              <w:bottom w:w="90" w:type="dxa"/>
              <w:end w:w="120" w:type="dxa"/>
            </w:tcMar>
          </w:tcPr>
          <w:p>
            <w:pPr>
              <w:spacing w:after="0"/>
            </w:pPr>
            <w:r>
              <w:rPr>
                <w:rFonts w:ascii="Arial" w:hAnsi="Arial"/>
                <w:b w:val="0"/>
                <w:i w:val="0"/>
                <w:color w:val="111111"/>
                <w:sz w:val="17"/>
              </w:rPr>
              <w:t>CONDITIONAL GO</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7"/>
              </w:rPr>
              <w:t>Preferred model</w:t>
            </w:r>
          </w:p>
        </w:tc>
        <w:tc>
          <w:tcPr>
            <w:tcW w:type="dxa" w:w="7340"/>
            <w:shd w:fill="FFFFFF"/>
            <w:vAlign w:val="top"/>
            <w:tcMar>
              <w:top w:w="90" w:type="dxa"/>
              <w:start w:w="120" w:type="dxa"/>
              <w:bottom w:w="90" w:type="dxa"/>
              <w:end w:w="120" w:type="dxa"/>
            </w:tcMar>
          </w:tcPr>
          <w:p>
            <w:pPr>
              <w:spacing w:after="0"/>
            </w:pPr>
            <w:r>
              <w:rPr>
                <w:rFonts w:ascii="Arial" w:hAnsi="Arial"/>
                <w:b w:val="0"/>
                <w:i w:val="0"/>
                <w:color w:val="111111"/>
                <w:sz w:val="17"/>
              </w:rPr>
              <w:t>Operate three separable engines: existing branded rental properties, villa acquisition/renovation/resale, and internal furniture production with selective external sales.</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7"/>
              </w:rPr>
              <w:t>Gate before commitment</w:t>
            </w:r>
          </w:p>
        </w:tc>
        <w:tc>
          <w:tcPr>
            <w:tcW w:type="dxa" w:w="7340"/>
            <w:shd w:fill="F3F3F3"/>
            <w:vAlign w:val="top"/>
            <w:tcMar>
              <w:top w:w="90" w:type="dxa"/>
              <w:start w:w="120" w:type="dxa"/>
              <w:bottom w:w="90" w:type="dxa"/>
              <w:end w:w="120" w:type="dxa"/>
            </w:tcMar>
          </w:tcPr>
          <w:p>
            <w:pPr>
              <w:spacing w:after="0"/>
            </w:pPr>
            <w:r>
              <w:rPr>
                <w:rFonts w:ascii="Arial" w:hAnsi="Arial"/>
                <w:b w:val="0"/>
                <w:i w:val="0"/>
                <w:color w:val="111111"/>
                <w:sz w:val="17"/>
              </w:rPr>
              <w:t>Approve only property-by-property after acquisition, renovation, holding, rental or exit economics are fully underwritten.</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7"/>
              </w:rPr>
              <w:t>Source status</w:t>
            </w:r>
          </w:p>
        </w:tc>
        <w:tc>
          <w:tcPr>
            <w:tcW w:type="dxa" w:w="7340"/>
            <w:shd w:fill="FFFFFF"/>
            <w:vAlign w:val="top"/>
            <w:tcMar>
              <w:top w:w="90" w:type="dxa"/>
              <w:start w:w="120" w:type="dxa"/>
              <w:bottom w:w="90" w:type="dxa"/>
              <w:end w:w="120" w:type="dxa"/>
            </w:tcMar>
          </w:tcPr>
          <w:p>
            <w:pPr>
              <w:spacing w:after="0"/>
            </w:pPr>
            <w:r>
              <w:rPr>
                <w:rFonts w:ascii="Arial" w:hAnsi="Arial"/>
                <w:b w:val="0"/>
                <w:i w:val="0"/>
                <w:color w:val="111111"/>
                <w:sz w:val="17"/>
              </w:rPr>
              <w:t>Villa value-add research, Alfa Home proposition and catalogues available; master business plan and portfolio register pending.</w:t>
            </w:r>
          </w:p>
        </w:tc>
      </w:tr>
    </w:tbl>
    <w:p>
      <w:pPr>
        <w:spacing w:after="40"/>
      </w:pPr>
    </w:p>
    <w:p>
      <w:pPr>
        <w:pStyle w:val="Heading2"/>
      </w:pPr>
      <w:r>
        <w:t>Principal advantages</w:t>
      </w:r>
    </w:p>
    <w:p>
      <w:pPr>
        <w:pStyle w:val="ListBullet"/>
      </w:pPr>
      <w:r>
        <w:t>Three independent engines under one Alfa Home brand; returns remain property-specific.</w:t>
      </w:r>
    </w:p>
    <w:p>
      <w:pPr>
        <w:pStyle w:val="ListBullet"/>
      </w:pPr>
      <w:r>
        <w:t>The portfolio is UAE-based and targets locations with high rental demand. Site selection and return approval remain property-specific.</w:t>
      </w:r>
    </w:p>
    <w:p>
      <w:pPr>
        <w:pStyle w:val="ListBullet"/>
      </w:pPr>
      <w:r>
        <w:t>The selected entry model is: Operate three separable engines: existing branded rental properties, villa acquisition/renovation/resale, and internal furniture production with selective external sales.</w:t>
      </w:r>
    </w:p>
    <w:p>
      <w:pPr>
        <w:pStyle w:val="Heading2"/>
      </w:pPr>
      <w:r>
        <w:t>Principal weaknesses</w:t>
      </w:r>
    </w:p>
    <w:p>
      <w:pPr>
        <w:pStyle w:val="ListBullet"/>
      </w:pPr>
      <w:r>
        <w:t>Paying too much for the property</w:t>
      </w:r>
    </w:p>
    <w:p>
      <w:pPr>
        <w:pStyle w:val="ListBullet"/>
      </w:pPr>
      <w:r>
        <w:t>Renovation delay beyond the target cycle</w:t>
      </w:r>
    </w:p>
    <w:p>
      <w:pPr>
        <w:pStyle w:val="ListBullet"/>
      </w:pPr>
      <w:r>
        <w:t>Mixing property returns with manufacturing economics</w:t>
      </w:r>
    </w:p>
    <w:p>
      <w:pPr>
        <w:pStyle w:val="ListBullet"/>
      </w:pPr>
      <w:r>
        <w:t>Unverified rental baselines and furniture unit costs</w:t>
      </w:r>
    </w:p>
    <w:p>
      <w:r>
        <w:br w:type="page"/>
      </w:r>
    </w:p>
    <w:p>
      <w:pPr>
        <w:pStyle w:val="Heading1"/>
      </w:pPr>
      <w:r>
        <w:t>Research scope and business model</w:t>
      </w:r>
    </w:p>
    <w:p>
      <w:pPr>
        <w:keepNext w:val="0"/>
        <w:spacing w:after="120"/>
      </w:pPr>
      <w:r>
        <w:rPr>
          <w:rFonts w:ascii="Arial" w:hAnsi="Arial"/>
          <w:b w:val="0"/>
          <w:i w:val="0"/>
          <w:color w:val="111111"/>
          <w:sz w:val="20"/>
        </w:rPr>
        <w:t>This report formalises the locked decision case for Alfa Home. It preserves the current evidence boundary and identifies the commercial proof required before commitment.</w:t>
      </w:r>
    </w:p>
    <w:p>
      <w:pPr>
        <w:pStyle w:val="Heading2"/>
      </w:pPr>
      <w:r>
        <w:t>Customer groups</w:t>
      </w:r>
    </w:p>
    <w:p>
      <w:pPr>
        <w:pStyle w:val="ListBullet"/>
      </w:pPr>
      <w:r>
        <w:t>Premium long-term and short-stay tenants</w:t>
      </w:r>
    </w:p>
    <w:p>
      <w:pPr>
        <w:pStyle w:val="ListBullet"/>
      </w:pPr>
      <w:r>
        <w:t>Buyers of renovated luxury villas</w:t>
      </w:r>
    </w:p>
    <w:p>
      <w:pPr>
        <w:pStyle w:val="ListBullet"/>
      </w:pPr>
      <w:r>
        <w:t>Internal Alfa Home properties requiring branded furnishing</w:t>
      </w:r>
    </w:p>
    <w:p>
      <w:pPr>
        <w:pStyle w:val="ListBullet"/>
      </w:pPr>
      <w:r>
        <w:t>Selective external furniture customers where capacity permits</w:t>
      </w:r>
    </w:p>
    <w:p>
      <w:pPr>
        <w:pStyle w:val="Heading2"/>
      </w:pPr>
      <w:r>
        <w:t>Products or operating segments</w:t>
      </w:r>
    </w:p>
    <w:p>
      <w:pPr>
        <w:pStyle w:val="ListBullet"/>
      </w:pPr>
      <w:r>
        <w:t>Existing branded rental properties</w:t>
      </w:r>
    </w:p>
    <w:p>
      <w:pPr>
        <w:pStyle w:val="ListBullet"/>
      </w:pPr>
      <w:r>
        <w:t>Villa buy-renovate-hold or resale</w:t>
      </w:r>
    </w:p>
    <w:p>
      <w:pPr>
        <w:pStyle w:val="ListBullet"/>
      </w:pPr>
      <w:r>
        <w:t>Furniture production and fit-out support</w:t>
      </w:r>
    </w:p>
    <w:p>
      <w:pPr>
        <w:pStyle w:val="Heading2"/>
      </w:pPr>
      <w:r>
        <w:t>Revenue model</w:t>
      </w:r>
    </w:p>
    <w:p>
      <w:pPr>
        <w:pStyle w:val="ListBullet"/>
      </w:pPr>
      <w:r>
        <w:t>Rental income</w:t>
      </w:r>
    </w:p>
    <w:p>
      <w:pPr>
        <w:pStyle w:val="ListBullet"/>
      </w:pPr>
      <w:r>
        <w:t>Resale margin on completed villas</w:t>
      </w:r>
    </w:p>
    <w:p>
      <w:pPr>
        <w:pStyle w:val="ListBullet"/>
      </w:pPr>
      <w:r>
        <w:t>Furniture transfer pricing for internal projects</w:t>
      </w:r>
    </w:p>
    <w:p>
      <w:pPr>
        <w:pStyle w:val="ListBullet"/>
      </w:pPr>
      <w:r>
        <w:t>Selective external furniture sales</w:t>
      </w:r>
    </w:p>
    <w:p>
      <w:pPr>
        <w:pStyle w:val="Heading2"/>
      </w:pPr>
      <w:r>
        <w:t>Preferred entry model</w:t>
      </w:r>
    </w:p>
    <w:p>
      <w:pPr>
        <w:keepNext w:val="0"/>
        <w:spacing w:after="120"/>
      </w:pPr>
      <w:r>
        <w:rPr>
          <w:rFonts w:ascii="Arial" w:hAnsi="Arial"/>
          <w:b w:val="0"/>
          <w:i w:val="0"/>
          <w:color w:val="111111"/>
          <w:sz w:val="20"/>
        </w:rPr>
        <w:t>Operate three separable engines: existing branded rental properties, villa acquisition/renovation/resale, and internal furniture production with selective external sales.</w:t>
      </w:r>
    </w:p>
    <w:p>
      <w:pPr>
        <w:pStyle w:val="Heading2"/>
      </w:pPr>
      <w:r>
        <w:t>Location logic</w:t>
      </w:r>
    </w:p>
    <w:p>
      <w:pPr>
        <w:keepNext w:val="0"/>
        <w:spacing w:after="120"/>
      </w:pPr>
      <w:r>
        <w:rPr>
          <w:rFonts w:ascii="Arial" w:hAnsi="Arial"/>
          <w:b w:val="0"/>
          <w:i w:val="0"/>
          <w:color w:val="111111"/>
          <w:sz w:val="20"/>
        </w:rPr>
        <w:t>The portfolio is UAE-based and targets locations with high rental demand. Site selection and return approval remain property-specific.</w:t>
      </w:r>
    </w:p>
    <w:p>
      <w:pPr>
        <w:pStyle w:val="Heading1"/>
      </w:pPr>
      <w:r>
        <w:t>Market and demand</w:t>
      </w:r>
    </w:p>
    <w:p>
      <w:pPr>
        <w:keepNext w:val="0"/>
        <w:spacing w:after="80"/>
      </w:pPr>
      <w:r>
        <w:rPr>
          <w:rFonts w:ascii="Arial" w:hAnsi="Arial"/>
          <w:b w:val="0"/>
          <w:i w:val="0"/>
          <w:color w:val="111111"/>
          <w:sz w:val="19"/>
        </w:rPr>
        <w:t>Three engines: existing branded rentals, villa value-add and furniture production.</w:t>
      </w:r>
    </w:p>
    <w:p>
      <w:pPr>
        <w:keepNext w:val="0"/>
        <w:spacing w:after="80"/>
      </w:pPr>
      <w:r>
        <w:rPr>
          <w:rFonts w:ascii="Arial" w:hAnsi="Arial"/>
          <w:b w:val="0"/>
          <w:i w:val="0"/>
          <w:color w:val="111111"/>
          <w:sz w:val="19"/>
        </w:rPr>
        <w:t>Dubai recorded 435 transactions above USD10M in 2024.</w:t>
      </w:r>
    </w:p>
    <w:p>
      <w:pPr>
        <w:keepNext w:val="0"/>
        <w:spacing w:after="80"/>
      </w:pPr>
      <w:r>
        <w:rPr>
          <w:rFonts w:ascii="Arial" w:hAnsi="Arial"/>
          <w:b w:val="0"/>
          <w:i w:val="0"/>
          <w:color w:val="111111"/>
          <w:sz w:val="19"/>
        </w:rPr>
        <w:t>The 435 Dubai transactions above USD10M represented AED36.7B in 2024.</w:t>
      </w:r>
    </w:p>
    <w:p>
      <w:pPr>
        <w:pStyle w:val="Heading2"/>
      </w:pPr>
      <w:r>
        <w:t>Competition and positioning</w:t>
      </w:r>
    </w:p>
    <w:p>
      <w:pPr>
        <w:keepNext w:val="0"/>
        <w:spacing w:after="120"/>
      </w:pPr>
      <w:r>
        <w:rPr>
          <w:rFonts w:ascii="Arial" w:hAnsi="Arial"/>
          <w:b w:val="0"/>
          <w:i w:val="0"/>
          <w:color w:val="111111"/>
          <w:sz w:val="20"/>
        </w:rPr>
        <w:t>A complete live competitor, pricing and capacity schedule is not contained in the controlling register. Competitive positioning must therefore be validated against current operators, current assets and current customer quotations before commitment.</w:t>
      </w:r>
    </w:p>
    <w:p>
      <w:r>
        <w:br w:type="page"/>
      </w:r>
    </w:p>
    <w:p>
      <w:pPr>
        <w:pStyle w:val="Heading1"/>
      </w:pPr>
      <w:r>
        <w:t>Pricing, revenue, CAPEX and returns</w:t>
      </w:r>
    </w:p>
    <w:tbl>
      <w:tblPr>
        <w:tblStyle w:val="TableGrid"/>
        <w:tblW w:type="dxa" w:w="9640"/>
        <w:tblLayout w:type="fixed"/>
        <w:tblLook w:firstColumn="1" w:firstRow="1" w:lastColumn="0" w:lastRow="0" w:noHBand="0" w:noVBand="1" w:val="04A0"/>
        <w:jc w:val="left"/>
        <w:tblInd w:w="0" w:type="dxa"/>
      </w:tblPr>
      <w:tblGrid>
        <w:gridCol w:w="2300"/>
        <w:gridCol w:w="1450"/>
        <w:gridCol w:w="1100"/>
        <w:gridCol w:w="1450"/>
        <w:gridCol w:w="2300"/>
        <w:gridCol w:w="1040"/>
      </w:tblGrid>
      <w:tr>
        <w:trPr>
          <w:cantSplit/>
          <w:tblHeader w:val="true"/>
          <w:cantSplit/>
        </w:trPr>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4"/>
              </w:rPr>
              <w:t>METRIC</w:t>
            </w:r>
          </w:p>
        </w:tc>
        <w:tc>
          <w:tcPr>
            <w:tcW w:type="dxa" w:w="1450"/>
            <w:tcMar>
              <w:top w:w="90" w:type="dxa"/>
              <w:start w:w="120" w:type="dxa"/>
              <w:bottom w:w="90" w:type="dxa"/>
              <w:end w:w="120" w:type="dxa"/>
            </w:tcMar>
            <w:shd w:fill="111111"/>
            <w:vAlign w:val="center"/>
          </w:tcPr>
          <w:p>
            <w:pPr>
              <w:spacing w:after="0"/>
            </w:pPr>
            <w:r>
              <w:rPr>
                <w:rFonts w:ascii="Arial" w:hAnsi="Arial"/>
                <w:b/>
                <w:i w:val="0"/>
                <w:color w:val="FFFFFF"/>
                <w:sz w:val="14"/>
              </w:rPr>
              <w:t>VALUE</w:t>
            </w:r>
          </w:p>
        </w:tc>
        <w:tc>
          <w:tcPr>
            <w:tcW w:type="dxa" w:w="1100"/>
            <w:tcMar>
              <w:top w:w="90" w:type="dxa"/>
              <w:start w:w="120" w:type="dxa"/>
              <w:bottom w:w="90" w:type="dxa"/>
              <w:end w:w="120" w:type="dxa"/>
            </w:tcMar>
            <w:shd w:fill="111111"/>
            <w:vAlign w:val="center"/>
          </w:tcPr>
          <w:p>
            <w:pPr>
              <w:spacing w:after="0"/>
            </w:pPr>
            <w:r>
              <w:rPr>
                <w:rFonts w:ascii="Arial" w:hAnsi="Arial"/>
                <w:b/>
                <w:i w:val="0"/>
                <w:color w:val="FFFFFF"/>
                <w:sz w:val="14"/>
              </w:rPr>
              <w:t>UNIT</w:t>
            </w:r>
          </w:p>
        </w:tc>
        <w:tc>
          <w:tcPr>
            <w:tcW w:type="dxa" w:w="1450"/>
            <w:tcMar>
              <w:top w:w="90" w:type="dxa"/>
              <w:start w:w="120" w:type="dxa"/>
              <w:bottom w:w="90" w:type="dxa"/>
              <w:end w:w="120" w:type="dxa"/>
            </w:tcMar>
            <w:shd w:fill="111111"/>
            <w:vAlign w:val="center"/>
          </w:tcPr>
          <w:p>
            <w:pPr>
              <w:spacing w:after="0"/>
            </w:pPr>
            <w:r>
              <w:rPr>
                <w:rFonts w:ascii="Arial" w:hAnsi="Arial"/>
                <w:b/>
                <w:i w:val="0"/>
                <w:color w:val="FFFFFF"/>
                <w:sz w:val="14"/>
              </w:rPr>
              <w:t>PERIOD</w:t>
            </w:r>
          </w:p>
        </w:tc>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4"/>
              </w:rPr>
              <w:t>EVIDENCE</w:t>
            </w:r>
          </w:p>
        </w:tc>
        <w:tc>
          <w:tcPr>
            <w:tcW w:type="dxa" w:w="1040"/>
            <w:tcMar>
              <w:top w:w="90" w:type="dxa"/>
              <w:start w:w="120" w:type="dxa"/>
              <w:bottom w:w="90" w:type="dxa"/>
              <w:end w:w="120" w:type="dxa"/>
            </w:tcMar>
            <w:shd w:fill="111111"/>
            <w:vAlign w:val="center"/>
          </w:tcPr>
          <w:p>
            <w:pPr>
              <w:spacing w:after="0"/>
            </w:pPr>
            <w:r>
              <w:rPr>
                <w:rFonts w:ascii="Arial" w:hAnsi="Arial"/>
                <w:b/>
                <w:i w:val="0"/>
                <w:color w:val="FFFFFF"/>
                <w:sz w:val="14"/>
              </w:rPr>
              <w:t>SOURCE</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Business engines</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3</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engines</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2026 strategy</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COMPANY-REPORTED DATA</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S04/S05</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Preferred acquisition range</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AED 20-50M</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AED/property</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2026 research recommendation</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S05</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Target cycle</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12-15 months</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months</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2026 research recommendation</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S05</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Portfolio-wide return</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Not established</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n/a</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2026</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NOT PUBLICLY VERIFIED</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S04/S05</w:t>
            </w:r>
          </w:p>
        </w:tc>
      </w:tr>
    </w:tbl>
    <w:p>
      <w:pPr>
        <w:spacing w:after="40"/>
      </w:pPr>
    </w:p>
    <w:p>
      <w:pPr>
        <w:keepNext w:val="0"/>
        <w:spacing w:after="120"/>
      </w:pPr>
      <w:r>
        <w:rPr>
          <w:rFonts w:ascii="Arial" w:hAnsi="Arial"/>
          <w:b w:val="0"/>
          <w:i/>
          <w:color w:val="555555"/>
          <w:sz w:val="17"/>
        </w:rPr>
        <w:t>All model outputs remain conditional on the underlying transaction, quotation or operating assumptions. No modelled return is a guaranteed result.</w:t>
      </w:r>
    </w:p>
    <w:p>
      <w:pPr>
        <w:pStyle w:val="Heading2"/>
      </w:pPr>
      <w:r>
        <w:t>Revenue drivers</w:t>
      </w:r>
    </w:p>
    <w:p>
      <w:pPr>
        <w:pStyle w:val="ListBullet"/>
      </w:pPr>
      <w:r>
        <w:t>Requires a venture-specific customer and pricing schedule.</w:t>
      </w:r>
    </w:p>
    <w:p>
      <w:pPr>
        <w:pStyle w:val="Heading2"/>
      </w:pPr>
      <w:r>
        <w:t>Cost and return limitations</w:t>
      </w:r>
    </w:p>
    <w:p>
      <w:pPr>
        <w:pStyle w:val="ListBullet"/>
      </w:pPr>
      <w:r>
        <w:t>Research recommendation, not a transaction commitment.</w:t>
      </w:r>
    </w:p>
    <w:p>
      <w:pPr>
        <w:pStyle w:val="ListBullet"/>
      </w:pPr>
      <w:r>
        <w:t>Property-specific schedule required.</w:t>
      </w:r>
    </w:p>
    <w:p>
      <w:pPr>
        <w:pStyle w:val="ListBullet"/>
      </w:pPr>
      <w:r>
        <w:t>Do not use the illustrative property ROIs as portfolio forecasts.</w:t>
      </w:r>
    </w:p>
    <w:p>
      <w:r>
        <w:br w:type="page"/>
      </w:r>
    </w:p>
    <w:p>
      <w:pPr>
        <w:pStyle w:val="Heading1"/>
      </w:pPr>
      <w:r>
        <w:t>Operating requirements</w:t>
      </w:r>
    </w:p>
    <w:p>
      <w:pPr>
        <w:pStyle w:val="ListBullet"/>
      </w:pPr>
      <w:r>
        <w:t>Property-by-property acquisition underwriting</w:t>
      </w:r>
    </w:p>
    <w:p>
      <w:pPr>
        <w:pStyle w:val="ListBullet"/>
      </w:pPr>
      <w:r>
        <w:t>Design, approvals, programme and cost control</w:t>
      </w:r>
    </w:p>
    <w:p>
      <w:pPr>
        <w:pStyle w:val="ListBullet"/>
      </w:pPr>
      <w:r>
        <w:t>Rental operations and brand standards</w:t>
      </w:r>
    </w:p>
    <w:p>
      <w:pPr>
        <w:pStyle w:val="ListBullet"/>
      </w:pPr>
      <w:r>
        <w:t>Furniture capacity, bill of materials and quality control</w:t>
      </w:r>
    </w:p>
    <w:p>
      <w:pPr>
        <w:pStyle w:val="Heading1"/>
      </w:pPr>
      <w:r>
        <w:t>Regulation and licensing</w:t>
      </w:r>
    </w:p>
    <w:p>
      <w:pPr>
        <w:keepNext w:val="0"/>
        <w:spacing w:after="120"/>
      </w:pPr>
      <w:r>
        <w:rPr>
          <w:rFonts w:ascii="Arial" w:hAnsi="Arial"/>
          <w:b w:val="0"/>
          <w:i w:val="0"/>
          <w:color w:val="111111"/>
          <w:sz w:val="20"/>
        </w:rPr>
        <w:t>Property ownership, leasing, holiday-home operation, renovation approvals and furniture production must be confirmed for each asset and operating entity. No portfolio-wide regulatory shortcut is approved.</w:t>
      </w:r>
    </w:p>
    <w:p>
      <w:pPr>
        <w:pStyle w:val="Heading1"/>
      </w:pPr>
      <w:r>
        <w:t>Risk register</w:t>
      </w:r>
    </w:p>
    <w:tbl>
      <w:tblPr>
        <w:tblStyle w:val="TableGrid"/>
        <w:tblW w:type="dxa" w:w="9640"/>
        <w:tblLayout w:type="fixed"/>
        <w:tblLook w:firstColumn="1" w:firstRow="1" w:lastColumn="0" w:lastRow="0" w:noHBand="0" w:noVBand="1" w:val="04A0"/>
        <w:jc w:val="left"/>
        <w:tblInd w:w="0" w:type="dxa"/>
      </w:tblPr>
      <w:tblGrid>
        <w:gridCol w:w="700"/>
        <w:gridCol w:w="3600"/>
        <w:gridCol w:w="1700"/>
        <w:gridCol w:w="3640"/>
      </w:tblGrid>
      <w:tr>
        <w:trPr>
          <w:cantSplit/>
          <w:tblHeader w:val="true"/>
          <w:cantSplit/>
        </w:trPr>
        <w:tc>
          <w:tcPr>
            <w:tcW w:type="dxa" w:w="700"/>
            <w:tcMar>
              <w:top w:w="90" w:type="dxa"/>
              <w:start w:w="120" w:type="dxa"/>
              <w:bottom w:w="90" w:type="dxa"/>
              <w:end w:w="120" w:type="dxa"/>
            </w:tcMar>
            <w:shd w:fill="111111"/>
            <w:vAlign w:val="center"/>
          </w:tcPr>
          <w:p>
            <w:pPr>
              <w:spacing w:after="0"/>
            </w:pPr>
            <w:r>
              <w:rPr>
                <w:rFonts w:ascii="Arial" w:hAnsi="Arial"/>
                <w:b/>
                <w:i w:val="0"/>
                <w:color w:val="FFFFFF"/>
                <w:sz w:val="16"/>
              </w:rPr>
              <w:t>ID</w:t>
            </w:r>
          </w:p>
        </w:tc>
        <w:tc>
          <w:tcPr>
            <w:tcW w:type="dxa" w:w="3600"/>
            <w:tcMar>
              <w:top w:w="90" w:type="dxa"/>
              <w:start w:w="120" w:type="dxa"/>
              <w:bottom w:w="90" w:type="dxa"/>
              <w:end w:w="120" w:type="dxa"/>
            </w:tcMar>
            <w:shd w:fill="111111"/>
            <w:vAlign w:val="center"/>
          </w:tcPr>
          <w:p>
            <w:pPr>
              <w:spacing w:after="0"/>
            </w:pPr>
            <w:r>
              <w:rPr>
                <w:rFonts w:ascii="Arial" w:hAnsi="Arial"/>
                <w:b/>
                <w:i w:val="0"/>
                <w:color w:val="FFFFFF"/>
                <w:sz w:val="16"/>
              </w:rPr>
              <w:t>RISK</w:t>
            </w:r>
          </w:p>
        </w:tc>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6"/>
              </w:rPr>
              <w:t>CURRENT LEVEL</w:t>
            </w:r>
          </w:p>
        </w:tc>
        <w:tc>
          <w:tcPr>
            <w:tcW w:type="dxa" w:w="3640"/>
            <w:tcMar>
              <w:top w:w="90" w:type="dxa"/>
              <w:start w:w="120" w:type="dxa"/>
              <w:bottom w:w="90" w:type="dxa"/>
              <w:end w:w="120" w:type="dxa"/>
            </w:tcMar>
            <w:shd w:fill="111111"/>
            <w:vAlign w:val="center"/>
          </w:tcPr>
          <w:p>
            <w:pPr>
              <w:spacing w:after="0"/>
            </w:pPr>
            <w:r>
              <w:rPr>
                <w:rFonts w:ascii="Arial" w:hAnsi="Arial"/>
                <w:b/>
                <w:i w:val="0"/>
                <w:color w:val="FFFFFF"/>
                <w:sz w:val="16"/>
              </w:rPr>
              <w:t>CONTROL</w:t>
            </w:r>
          </w:p>
        </w:tc>
      </w:tr>
      <w:tr>
        <w:trPr>
          <w:cantSplit/>
          <w:cantSplit/>
        </w:trPr>
        <w:tc>
          <w:tcPr>
            <w:tcW w:type="dxa" w:w="700"/>
            <w:shd w:fill="F3F3F3"/>
            <w:vAlign w:val="top"/>
            <w:tcMar>
              <w:top w:w="90" w:type="dxa"/>
              <w:start w:w="120" w:type="dxa"/>
              <w:bottom w:w="90" w:type="dxa"/>
              <w:end w:w="120" w:type="dxa"/>
            </w:tcMar>
          </w:tcPr>
          <w:p>
            <w:pPr>
              <w:spacing w:after="0"/>
            </w:pPr>
            <w:r>
              <w:rPr>
                <w:rFonts w:ascii="Arial" w:hAnsi="Arial"/>
                <w:b/>
                <w:i w:val="0"/>
                <w:color w:val="111111"/>
                <w:sz w:val="16"/>
              </w:rPr>
              <w:t>R01</w:t>
            </w:r>
          </w:p>
        </w:tc>
        <w:tc>
          <w:tcPr>
            <w:tcW w:type="dxa" w:w="3600"/>
            <w:shd w:fill="F3F3F3"/>
            <w:vAlign w:val="top"/>
            <w:tcMar>
              <w:top w:w="90" w:type="dxa"/>
              <w:start w:w="120" w:type="dxa"/>
              <w:bottom w:w="90" w:type="dxa"/>
              <w:end w:w="120" w:type="dxa"/>
            </w:tcMar>
          </w:tcPr>
          <w:p>
            <w:pPr>
              <w:spacing w:after="0"/>
            </w:pPr>
            <w:r>
              <w:rPr>
                <w:rFonts w:ascii="Arial" w:hAnsi="Arial"/>
                <w:b w:val="0"/>
                <w:i w:val="0"/>
                <w:color w:val="111111"/>
                <w:sz w:val="16"/>
              </w:rPr>
              <w:t>Paying too much for the property</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3F3F3"/>
            <w:vAlign w:val="top"/>
            <w:tcMar>
              <w:top w:w="90" w:type="dxa"/>
              <w:start w:w="120" w:type="dxa"/>
              <w:bottom w:w="90" w:type="dxa"/>
              <w:end w:w="120" w:type="dxa"/>
            </w:tcMar>
          </w:tcPr>
          <w:p>
            <w:pPr>
              <w:spacing w:after="0"/>
            </w:pPr>
            <w:r>
              <w:rPr>
                <w:rFonts w:ascii="Arial" w:hAnsi="Arial"/>
                <w:b w:val="0"/>
                <w:i w:val="0"/>
                <w:color w:val="111111"/>
                <w:sz w:val="16"/>
              </w:rPr>
              <w:t>Hold commitment until the decision gate is evidenced.</w:t>
            </w:r>
          </w:p>
        </w:tc>
      </w:tr>
      <w:tr>
        <w:trPr>
          <w:cantSplit/>
          <w:cantSplit/>
        </w:trPr>
        <w:tc>
          <w:tcPr>
            <w:tcW w:type="dxa" w:w="700"/>
            <w:shd w:fill="FFFFFF"/>
            <w:vAlign w:val="top"/>
            <w:tcMar>
              <w:top w:w="90" w:type="dxa"/>
              <w:start w:w="120" w:type="dxa"/>
              <w:bottom w:w="90" w:type="dxa"/>
              <w:end w:w="120" w:type="dxa"/>
            </w:tcMar>
          </w:tcPr>
          <w:p>
            <w:pPr>
              <w:spacing w:after="0"/>
            </w:pPr>
            <w:r>
              <w:rPr>
                <w:rFonts w:ascii="Arial" w:hAnsi="Arial"/>
                <w:b/>
                <w:i w:val="0"/>
                <w:color w:val="111111"/>
                <w:sz w:val="16"/>
              </w:rPr>
              <w:t>R02</w:t>
            </w:r>
          </w:p>
        </w:tc>
        <w:tc>
          <w:tcPr>
            <w:tcW w:type="dxa" w:w="3600"/>
            <w:shd w:fill="FFFFFF"/>
            <w:vAlign w:val="top"/>
            <w:tcMar>
              <w:top w:w="90" w:type="dxa"/>
              <w:start w:w="120" w:type="dxa"/>
              <w:bottom w:w="90" w:type="dxa"/>
              <w:end w:w="120" w:type="dxa"/>
            </w:tcMar>
          </w:tcPr>
          <w:p>
            <w:pPr>
              <w:spacing w:after="0"/>
            </w:pPr>
            <w:r>
              <w:rPr>
                <w:rFonts w:ascii="Arial" w:hAnsi="Arial"/>
                <w:b w:val="0"/>
                <w:i w:val="0"/>
                <w:color w:val="111111"/>
                <w:sz w:val="16"/>
              </w:rPr>
              <w:t>Renovation delay beyond the target cycle</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FFFFF"/>
            <w:vAlign w:val="top"/>
            <w:tcMar>
              <w:top w:w="90" w:type="dxa"/>
              <w:start w:w="120" w:type="dxa"/>
              <w:bottom w:w="90" w:type="dxa"/>
              <w:end w:w="120" w:type="dxa"/>
            </w:tcMar>
          </w:tcPr>
          <w:p>
            <w:pPr>
              <w:spacing w:after="0"/>
            </w:pPr>
            <w:r>
              <w:rPr>
                <w:rFonts w:ascii="Arial" w:hAnsi="Arial"/>
                <w:b w:val="0"/>
                <w:i w:val="0"/>
                <w:color w:val="111111"/>
                <w:sz w:val="16"/>
              </w:rPr>
              <w:t>Use separate models and approval thresholds.</w:t>
            </w:r>
          </w:p>
        </w:tc>
      </w:tr>
      <w:tr>
        <w:trPr>
          <w:cantSplit/>
          <w:cantSplit/>
        </w:trPr>
        <w:tc>
          <w:tcPr>
            <w:tcW w:type="dxa" w:w="700"/>
            <w:shd w:fill="F3F3F3"/>
            <w:vAlign w:val="top"/>
            <w:tcMar>
              <w:top w:w="90" w:type="dxa"/>
              <w:start w:w="120" w:type="dxa"/>
              <w:bottom w:w="90" w:type="dxa"/>
              <w:end w:w="120" w:type="dxa"/>
            </w:tcMar>
          </w:tcPr>
          <w:p>
            <w:pPr>
              <w:spacing w:after="0"/>
            </w:pPr>
            <w:r>
              <w:rPr>
                <w:rFonts w:ascii="Arial" w:hAnsi="Arial"/>
                <w:b/>
                <w:i w:val="0"/>
                <w:color w:val="111111"/>
                <w:sz w:val="16"/>
              </w:rPr>
              <w:t>R03</w:t>
            </w:r>
          </w:p>
        </w:tc>
        <w:tc>
          <w:tcPr>
            <w:tcW w:type="dxa" w:w="3600"/>
            <w:shd w:fill="F3F3F3"/>
            <w:vAlign w:val="top"/>
            <w:tcMar>
              <w:top w:w="90" w:type="dxa"/>
              <w:start w:w="120" w:type="dxa"/>
              <w:bottom w:w="90" w:type="dxa"/>
              <w:end w:w="120" w:type="dxa"/>
            </w:tcMar>
          </w:tcPr>
          <w:p>
            <w:pPr>
              <w:spacing w:after="0"/>
            </w:pPr>
            <w:r>
              <w:rPr>
                <w:rFonts w:ascii="Arial" w:hAnsi="Arial"/>
                <w:b w:val="0"/>
                <w:i w:val="0"/>
                <w:color w:val="111111"/>
                <w:sz w:val="16"/>
              </w:rPr>
              <w:t>Mixing property returns with manufacturing economics</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3F3F3"/>
            <w:vAlign w:val="top"/>
            <w:tcMar>
              <w:top w:w="90" w:type="dxa"/>
              <w:start w:w="120" w:type="dxa"/>
              <w:bottom w:w="90" w:type="dxa"/>
              <w:end w:w="120" w:type="dxa"/>
            </w:tcMar>
          </w:tcPr>
          <w:p>
            <w:pPr>
              <w:spacing w:after="0"/>
            </w:pPr>
            <w:r>
              <w:rPr>
                <w:rFonts w:ascii="Arial" w:hAnsi="Arial"/>
                <w:b w:val="0"/>
                <w:i w:val="0"/>
                <w:color w:val="111111"/>
                <w:sz w:val="16"/>
              </w:rPr>
              <w:t>Obtain written quotations, contracts and technical review.</w:t>
            </w:r>
          </w:p>
        </w:tc>
      </w:tr>
      <w:tr>
        <w:trPr>
          <w:cantSplit/>
          <w:cantSplit/>
        </w:trPr>
        <w:tc>
          <w:tcPr>
            <w:tcW w:type="dxa" w:w="700"/>
            <w:shd w:fill="FFFFFF"/>
            <w:vAlign w:val="top"/>
            <w:tcMar>
              <w:top w:w="90" w:type="dxa"/>
              <w:start w:w="120" w:type="dxa"/>
              <w:bottom w:w="90" w:type="dxa"/>
              <w:end w:w="120" w:type="dxa"/>
            </w:tcMar>
          </w:tcPr>
          <w:p>
            <w:pPr>
              <w:spacing w:after="0"/>
            </w:pPr>
            <w:r>
              <w:rPr>
                <w:rFonts w:ascii="Arial" w:hAnsi="Arial"/>
                <w:b/>
                <w:i w:val="0"/>
                <w:color w:val="111111"/>
                <w:sz w:val="16"/>
              </w:rPr>
              <w:t>R04</w:t>
            </w:r>
          </w:p>
        </w:tc>
        <w:tc>
          <w:tcPr>
            <w:tcW w:type="dxa" w:w="3600"/>
            <w:shd w:fill="FFFFFF"/>
            <w:vAlign w:val="top"/>
            <w:tcMar>
              <w:top w:w="90" w:type="dxa"/>
              <w:start w:w="120" w:type="dxa"/>
              <w:bottom w:w="90" w:type="dxa"/>
              <w:end w:w="120" w:type="dxa"/>
            </w:tcMar>
          </w:tcPr>
          <w:p>
            <w:pPr>
              <w:spacing w:after="0"/>
            </w:pPr>
            <w:r>
              <w:rPr>
                <w:rFonts w:ascii="Arial" w:hAnsi="Arial"/>
                <w:b w:val="0"/>
                <w:i w:val="0"/>
                <w:color w:val="111111"/>
                <w:sz w:val="16"/>
              </w:rPr>
              <w:t>Unverified rental baselines and furniture unit costs</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FFFFF"/>
            <w:vAlign w:val="top"/>
            <w:tcMar>
              <w:top w:w="90" w:type="dxa"/>
              <w:start w:w="120" w:type="dxa"/>
              <w:bottom w:w="90" w:type="dxa"/>
              <w:end w:w="120" w:type="dxa"/>
            </w:tcMar>
          </w:tcPr>
          <w:p>
            <w:pPr>
              <w:spacing w:after="0"/>
            </w:pPr>
            <w:r>
              <w:rPr>
                <w:rFonts w:ascii="Arial" w:hAnsi="Arial"/>
                <w:b w:val="0"/>
                <w:i w:val="0"/>
                <w:color w:val="111111"/>
                <w:sz w:val="16"/>
              </w:rPr>
              <w:t>Run legal, operating and counterparty diligence before scale.</w:t>
            </w:r>
          </w:p>
        </w:tc>
      </w:tr>
    </w:tbl>
    <w:p>
      <w:pPr>
        <w:spacing w:after="40"/>
      </w:pPr>
    </w:p>
    <w:p>
      <w:pPr>
        <w:pStyle w:val="Heading1"/>
      </w:pPr>
      <w:r>
        <w:t>Recommendation</w:t>
      </w:r>
    </w:p>
    <w:p>
      <w:pPr>
        <w:keepNext w:val="0"/>
        <w:spacing w:after="160"/>
      </w:pPr>
      <w:r>
        <w:rPr>
          <w:rFonts w:ascii="Arial" w:hAnsi="Arial"/>
          <w:b/>
          <w:i w:val="0"/>
          <w:color w:val="111111"/>
          <w:sz w:val="32"/>
        </w:rPr>
        <w:t>CONDITIONAL GO</w:t>
      </w:r>
    </w:p>
    <w:p>
      <w:pPr>
        <w:keepNext w:val="0"/>
        <w:spacing w:after="120"/>
      </w:pPr>
      <w:r>
        <w:rPr>
          <w:rFonts w:ascii="Arial" w:hAnsi="Arial"/>
          <w:b w:val="0"/>
          <w:i w:val="0"/>
          <w:color w:val="111111"/>
          <w:sz w:val="20"/>
        </w:rPr>
        <w:t>Operate three separable engines: existing branded rental properties, villa acquisition/renovation/resale, and internal furniture production with selective external sales.</w:t>
      </w:r>
    </w:p>
    <w:p>
      <w:pPr>
        <w:keepNext w:val="0"/>
        <w:spacing w:after="120"/>
      </w:pPr>
      <w:r>
        <w:rPr>
          <w:rFonts w:ascii="Arial" w:hAnsi="Arial"/>
          <w:b/>
          <w:i w:val="0"/>
          <w:color w:val="111111"/>
          <w:sz w:val="20"/>
        </w:rPr>
        <w:t>Condition before commitment: Approve only property-by-property after acquisition, renovation, holding, rental or exit economics are fully underwritten.</w:t>
      </w:r>
    </w:p>
    <w:p>
      <w:r>
        <w:br w:type="page"/>
      </w:r>
    </w:p>
    <w:p>
      <w:pPr>
        <w:pStyle w:val="Heading1"/>
      </w:pPr>
      <w:r>
        <w:t>Missing information and due diligence</w:t>
      </w:r>
    </w:p>
    <w:tbl>
      <w:tblPr>
        <w:tblStyle w:val="TableGrid"/>
        <w:tblW w:type="dxa" w:w="9640"/>
        <w:tblLayout w:type="fixed"/>
        <w:tblLook w:firstColumn="1" w:firstRow="1" w:lastColumn="0" w:lastRow="0" w:noHBand="0" w:noVBand="1" w:val="04A0"/>
        <w:jc w:val="left"/>
        <w:tblInd w:w="0" w:type="dxa"/>
      </w:tblPr>
      <w:tblGrid>
        <w:gridCol w:w="3400"/>
        <w:gridCol w:w="2200"/>
        <w:gridCol w:w="1700"/>
        <w:gridCol w:w="2340"/>
      </w:tblGrid>
      <w:tr>
        <w:trPr>
          <w:cantSplit/>
          <w:tblHeader w:val="true"/>
          <w:cantSplit/>
        </w:trPr>
        <w:tc>
          <w:tcPr>
            <w:tcW w:type="dxa" w:w="3400"/>
            <w:tcMar>
              <w:top w:w="90" w:type="dxa"/>
              <w:start w:w="120" w:type="dxa"/>
              <w:bottom w:w="90" w:type="dxa"/>
              <w:end w:w="120" w:type="dxa"/>
            </w:tcMar>
            <w:shd w:fill="111111"/>
            <w:vAlign w:val="center"/>
          </w:tcPr>
          <w:p>
            <w:pPr>
              <w:spacing w:after="0"/>
            </w:pPr>
            <w:r>
              <w:rPr>
                <w:rFonts w:ascii="Arial" w:hAnsi="Arial"/>
                <w:b/>
                <w:i w:val="0"/>
                <w:color w:val="FFFFFF"/>
                <w:sz w:val="15"/>
              </w:rPr>
              <w:t>DOCUMENT</w:t>
            </w:r>
          </w:p>
        </w:tc>
        <w:tc>
          <w:tcPr>
            <w:tcW w:type="dxa" w:w="2200"/>
            <w:tcMar>
              <w:top w:w="90" w:type="dxa"/>
              <w:start w:w="120" w:type="dxa"/>
              <w:bottom w:w="90" w:type="dxa"/>
              <w:end w:w="120" w:type="dxa"/>
            </w:tcMar>
            <w:shd w:fill="111111"/>
            <w:vAlign w:val="center"/>
          </w:tcPr>
          <w:p>
            <w:pPr>
              <w:spacing w:after="0"/>
            </w:pPr>
            <w:r>
              <w:rPr>
                <w:rFonts w:ascii="Arial" w:hAnsi="Arial"/>
                <w:b/>
                <w:i w:val="0"/>
                <w:color w:val="FFFFFF"/>
                <w:sz w:val="15"/>
              </w:rPr>
              <w:t>STATUS</w:t>
            </w:r>
          </w:p>
        </w:tc>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5"/>
              </w:rPr>
              <w:t>LAYER</w:t>
            </w:r>
          </w:p>
        </w:tc>
        <w:tc>
          <w:tcPr>
            <w:tcW w:type="dxa" w:w="2340"/>
            <w:tcMar>
              <w:top w:w="90" w:type="dxa"/>
              <w:start w:w="120" w:type="dxa"/>
              <w:bottom w:w="90" w:type="dxa"/>
              <w:end w:w="120" w:type="dxa"/>
            </w:tcMar>
            <w:shd w:fill="111111"/>
            <w:vAlign w:val="center"/>
          </w:tcPr>
          <w:p>
            <w:pPr>
              <w:spacing w:after="0"/>
            </w:pPr>
            <w:r>
              <w:rPr>
                <w:rFonts w:ascii="Arial" w:hAnsi="Arial"/>
                <w:b/>
                <w:i w:val="0"/>
                <w:color w:val="FFFFFF"/>
                <w:sz w:val="15"/>
              </w:rPr>
              <w:t>REQUIRED ACTION</w:t>
            </w:r>
          </w:p>
        </w:tc>
      </w:tr>
      <w:tr>
        <w:trPr>
          <w:cantSplit/>
          <w:cantSplit/>
        </w:trPr>
        <w:tc>
          <w:tcPr>
            <w:tcW w:type="dxa" w:w="3400"/>
            <w:shd w:fill="F3F3F3"/>
            <w:vAlign w:val="top"/>
            <w:tcMar>
              <w:top w:w="90" w:type="dxa"/>
              <w:start w:w="120" w:type="dxa"/>
              <w:bottom w:w="90" w:type="dxa"/>
              <w:end w:w="120" w:type="dxa"/>
            </w:tcMar>
          </w:tcPr>
          <w:p>
            <w:pPr>
              <w:spacing w:after="0"/>
            </w:pPr>
            <w:r>
              <w:rPr>
                <w:rFonts w:ascii="Arial" w:hAnsi="Arial"/>
                <w:b/>
                <w:i w:val="0"/>
                <w:color w:val="111111"/>
                <w:sz w:val="15"/>
              </w:rPr>
              <w:t>Luxury Villa Value-Add Deep Research</w:t>
            </w:r>
          </w:p>
        </w:tc>
        <w:tc>
          <w:tcPr>
            <w:tcW w:type="dxa" w:w="2200"/>
            <w:shd w:fill="F3F3F3"/>
            <w:vAlign w:val="top"/>
            <w:tcMar>
              <w:top w:w="90" w:type="dxa"/>
              <w:start w:w="120" w:type="dxa"/>
              <w:bottom w:w="90" w:type="dxa"/>
              <w:end w:w="120" w:type="dxa"/>
            </w:tcMar>
          </w:tcPr>
          <w:p>
            <w:pPr>
              <w:spacing w:after="0"/>
            </w:pPr>
            <w:r>
              <w:rPr>
                <w:rFonts w:ascii="Arial" w:hAnsi="Arial"/>
                <w:b w:val="0"/>
                <w:i w:val="0"/>
                <w:color w:val="111111"/>
                <w:sz w:val="15"/>
              </w:rPr>
              <w:t>Available</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5"/>
              </w:rPr>
              <w:t>Source</w:t>
            </w:r>
          </w:p>
        </w:tc>
        <w:tc>
          <w:tcPr>
            <w:tcW w:type="dxa" w:w="2340"/>
            <w:shd w:fill="F3F3F3"/>
            <w:vAlign w:val="top"/>
            <w:tcMar>
              <w:top w:w="90" w:type="dxa"/>
              <w:start w:w="120" w:type="dxa"/>
              <w:bottom w:w="90" w:type="dxa"/>
              <w:end w:w="120" w:type="dxa"/>
            </w:tcMar>
          </w:tcPr>
          <w:p>
            <w:pPr>
              <w:spacing w:after="0"/>
            </w:pPr>
            <w:r>
              <w:rPr>
                <w:rFonts w:ascii="Arial" w:hAnsi="Arial"/>
                <w:b w:val="0"/>
                <w:i w:val="0"/>
                <w:color w:val="111111"/>
                <w:sz w:val="15"/>
              </w:rPr>
              <w:t>Retain</w:t>
            </w:r>
          </w:p>
        </w:tc>
      </w:tr>
      <w:tr>
        <w:trPr>
          <w:cantSplit/>
          <w:cantSplit/>
        </w:trPr>
        <w:tc>
          <w:tcPr>
            <w:tcW w:type="dxa" w:w="3400"/>
            <w:shd w:fill="FFFFFF"/>
            <w:vAlign w:val="top"/>
            <w:tcMar>
              <w:top w:w="90" w:type="dxa"/>
              <w:start w:w="120" w:type="dxa"/>
              <w:bottom w:w="90" w:type="dxa"/>
              <w:end w:w="120" w:type="dxa"/>
            </w:tcMar>
          </w:tcPr>
          <w:p>
            <w:pPr>
              <w:spacing w:after="0"/>
            </w:pPr>
            <w:r>
              <w:rPr>
                <w:rFonts w:ascii="Arial" w:hAnsi="Arial"/>
                <w:b/>
                <w:i w:val="0"/>
                <w:color w:val="111111"/>
                <w:sz w:val="15"/>
              </w:rPr>
              <w:t>Alfa Home Proposition and Catalogues</w:t>
            </w:r>
          </w:p>
        </w:tc>
        <w:tc>
          <w:tcPr>
            <w:tcW w:type="dxa" w:w="2200"/>
            <w:shd w:fill="FFFFFF"/>
            <w:vAlign w:val="top"/>
            <w:tcMar>
              <w:top w:w="90" w:type="dxa"/>
              <w:start w:w="120" w:type="dxa"/>
              <w:bottom w:w="90" w:type="dxa"/>
              <w:end w:w="120" w:type="dxa"/>
            </w:tcMar>
          </w:tcPr>
          <w:p>
            <w:pPr>
              <w:spacing w:after="0"/>
            </w:pPr>
            <w:r>
              <w:rPr>
                <w:rFonts w:ascii="Arial" w:hAnsi="Arial"/>
                <w:b w:val="0"/>
                <w:i w:val="0"/>
                <w:color w:val="111111"/>
                <w:sz w:val="15"/>
              </w:rPr>
              <w:t>Available</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5"/>
              </w:rPr>
              <w:t>Source</w:t>
            </w:r>
          </w:p>
        </w:tc>
        <w:tc>
          <w:tcPr>
            <w:tcW w:type="dxa" w:w="2340"/>
            <w:shd w:fill="FFFFFF"/>
            <w:vAlign w:val="top"/>
            <w:tcMar>
              <w:top w:w="90" w:type="dxa"/>
              <w:start w:w="120" w:type="dxa"/>
              <w:bottom w:w="90" w:type="dxa"/>
              <w:end w:w="120" w:type="dxa"/>
            </w:tcMar>
          </w:tcPr>
          <w:p>
            <w:pPr>
              <w:spacing w:after="0"/>
            </w:pPr>
            <w:r>
              <w:rPr>
                <w:rFonts w:ascii="Arial" w:hAnsi="Arial"/>
                <w:b w:val="0"/>
                <w:i w:val="0"/>
                <w:color w:val="111111"/>
                <w:sz w:val="15"/>
              </w:rPr>
              <w:t>Retain</w:t>
            </w:r>
          </w:p>
        </w:tc>
      </w:tr>
      <w:tr>
        <w:trPr>
          <w:cantSplit/>
          <w:cantSplit/>
        </w:trPr>
        <w:tc>
          <w:tcPr>
            <w:tcW w:type="dxa" w:w="3400"/>
            <w:shd w:fill="F3F3F3"/>
            <w:vAlign w:val="top"/>
            <w:tcMar>
              <w:top w:w="90" w:type="dxa"/>
              <w:start w:w="120" w:type="dxa"/>
              <w:bottom w:w="90" w:type="dxa"/>
              <w:end w:w="120" w:type="dxa"/>
            </w:tcMar>
          </w:tcPr>
          <w:p>
            <w:pPr>
              <w:spacing w:after="0"/>
            </w:pPr>
            <w:r>
              <w:rPr>
                <w:rFonts w:ascii="Arial" w:hAnsi="Arial"/>
                <w:b/>
                <w:i w:val="0"/>
                <w:color w:val="111111"/>
                <w:sz w:val="15"/>
              </w:rPr>
              <w:t>Alfa Home Master Business Plan</w:t>
            </w:r>
          </w:p>
        </w:tc>
        <w:tc>
          <w:tcPr>
            <w:tcW w:type="dxa" w:w="2200"/>
            <w:shd w:fill="F3F3F3"/>
            <w:vAlign w:val="top"/>
            <w:tcMar>
              <w:top w:w="90" w:type="dxa"/>
              <w:start w:w="120" w:type="dxa"/>
              <w:bottom w:w="90" w:type="dxa"/>
              <w:end w:w="120" w:type="dxa"/>
            </w:tcMar>
          </w:tcPr>
          <w:p>
            <w:pPr>
              <w:spacing w:after="0"/>
            </w:pPr>
            <w:r>
              <w:rPr>
                <w:rFonts w:ascii="Arial" w:hAnsi="Arial"/>
                <w:b w:val="0"/>
                <w:i w:val="0"/>
                <w:color w:val="111111"/>
                <w:sz w:val="15"/>
              </w:rPr>
              <w:t>Pending</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5"/>
              </w:rPr>
              <w:t>Phase 2</w:t>
            </w:r>
          </w:p>
        </w:tc>
        <w:tc>
          <w:tcPr>
            <w:tcW w:type="dxa" w:w="2340"/>
            <w:shd w:fill="F3F3F3"/>
            <w:vAlign w:val="top"/>
            <w:tcMar>
              <w:top w:w="90" w:type="dxa"/>
              <w:start w:w="120" w:type="dxa"/>
              <w:bottom w:w="90" w:type="dxa"/>
              <w:end w:w="120" w:type="dxa"/>
            </w:tcMar>
          </w:tcPr>
          <w:p>
            <w:pPr>
              <w:spacing w:after="0"/>
            </w:pPr>
            <w:r>
              <w:rPr>
                <w:rFonts w:ascii="Arial" w:hAnsi="Arial"/>
                <w:b w:val="0"/>
                <w:i w:val="0"/>
                <w:color w:val="111111"/>
                <w:sz w:val="15"/>
              </w:rPr>
              <w:t>Create from existing sources</w:t>
            </w:r>
          </w:p>
        </w:tc>
      </w:tr>
      <w:tr>
        <w:trPr>
          <w:cantSplit/>
          <w:cantSplit/>
        </w:trPr>
        <w:tc>
          <w:tcPr>
            <w:tcW w:type="dxa" w:w="3400"/>
            <w:shd w:fill="FFFFFF"/>
            <w:vAlign w:val="top"/>
            <w:tcMar>
              <w:top w:w="90" w:type="dxa"/>
              <w:start w:w="120" w:type="dxa"/>
              <w:bottom w:w="90" w:type="dxa"/>
              <w:end w:w="120" w:type="dxa"/>
            </w:tcMar>
          </w:tcPr>
          <w:p>
            <w:pPr>
              <w:spacing w:after="0"/>
            </w:pPr>
            <w:r>
              <w:rPr>
                <w:rFonts w:ascii="Arial" w:hAnsi="Arial"/>
                <w:b/>
                <w:i w:val="0"/>
                <w:color w:val="111111"/>
                <w:sz w:val="15"/>
              </w:rPr>
              <w:t>Property Register and Rental Baseline</w:t>
            </w:r>
          </w:p>
        </w:tc>
        <w:tc>
          <w:tcPr>
            <w:tcW w:type="dxa" w:w="2200"/>
            <w:shd w:fill="FFFFFF"/>
            <w:vAlign w:val="top"/>
            <w:tcMar>
              <w:top w:w="90" w:type="dxa"/>
              <w:start w:w="120" w:type="dxa"/>
              <w:bottom w:w="90" w:type="dxa"/>
              <w:end w:w="120" w:type="dxa"/>
            </w:tcMar>
          </w:tcPr>
          <w:p>
            <w:pPr>
              <w:spacing w:after="0"/>
            </w:pPr>
            <w:r>
              <w:rPr>
                <w:rFonts w:ascii="Arial" w:hAnsi="Arial"/>
                <w:b w:val="0"/>
                <w:i w:val="0"/>
                <w:color w:val="111111"/>
                <w:sz w:val="15"/>
              </w:rPr>
              <w:t>Requires company data</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5"/>
              </w:rPr>
              <w:t>Commercial evidence</w:t>
            </w:r>
          </w:p>
        </w:tc>
        <w:tc>
          <w:tcPr>
            <w:tcW w:type="dxa" w:w="2340"/>
            <w:shd w:fill="FFFFFF"/>
            <w:vAlign w:val="top"/>
            <w:tcMar>
              <w:top w:w="90" w:type="dxa"/>
              <w:start w:w="120" w:type="dxa"/>
              <w:bottom w:w="90" w:type="dxa"/>
              <w:end w:w="120" w:type="dxa"/>
            </w:tcMar>
          </w:tcPr>
          <w:p>
            <w:pPr>
              <w:spacing w:after="0"/>
            </w:pPr>
            <w:r>
              <w:rPr>
                <w:rFonts w:ascii="Arial" w:hAnsi="Arial"/>
                <w:b w:val="0"/>
                <w:i w:val="0"/>
                <w:color w:val="111111"/>
                <w:sz w:val="15"/>
              </w:rPr>
              <w:t>Obtain</w:t>
            </w:r>
          </w:p>
        </w:tc>
      </w:tr>
      <w:tr>
        <w:trPr>
          <w:cantSplit/>
          <w:cantSplit/>
        </w:trPr>
        <w:tc>
          <w:tcPr>
            <w:tcW w:type="dxa" w:w="3400"/>
            <w:shd w:fill="F3F3F3"/>
            <w:vAlign w:val="top"/>
            <w:tcMar>
              <w:top w:w="90" w:type="dxa"/>
              <w:start w:w="120" w:type="dxa"/>
              <w:bottom w:w="90" w:type="dxa"/>
              <w:end w:w="120" w:type="dxa"/>
            </w:tcMar>
          </w:tcPr>
          <w:p>
            <w:pPr>
              <w:spacing w:after="0"/>
            </w:pPr>
            <w:r>
              <w:rPr>
                <w:rFonts w:ascii="Arial" w:hAnsi="Arial"/>
                <w:b/>
                <w:i w:val="0"/>
                <w:color w:val="111111"/>
                <w:sz w:val="15"/>
              </w:rPr>
              <w:t>Furniture Capacity and Unit-Cost Model</w:t>
            </w:r>
          </w:p>
        </w:tc>
        <w:tc>
          <w:tcPr>
            <w:tcW w:type="dxa" w:w="2200"/>
            <w:shd w:fill="F3F3F3"/>
            <w:vAlign w:val="top"/>
            <w:tcMar>
              <w:top w:w="90" w:type="dxa"/>
              <w:start w:w="120" w:type="dxa"/>
              <w:bottom w:w="90" w:type="dxa"/>
              <w:end w:w="120" w:type="dxa"/>
            </w:tcMar>
          </w:tcPr>
          <w:p>
            <w:pPr>
              <w:spacing w:after="0"/>
            </w:pPr>
            <w:r>
              <w:rPr>
                <w:rFonts w:ascii="Arial" w:hAnsi="Arial"/>
                <w:b w:val="0"/>
                <w:i w:val="0"/>
                <w:color w:val="111111"/>
                <w:sz w:val="15"/>
              </w:rPr>
              <w:t>Requires company data</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5"/>
              </w:rPr>
              <w:t>Commercial evidence</w:t>
            </w:r>
          </w:p>
        </w:tc>
        <w:tc>
          <w:tcPr>
            <w:tcW w:type="dxa" w:w="2340"/>
            <w:shd w:fill="F3F3F3"/>
            <w:vAlign w:val="top"/>
            <w:tcMar>
              <w:top w:w="90" w:type="dxa"/>
              <w:start w:w="120" w:type="dxa"/>
              <w:bottom w:w="90" w:type="dxa"/>
              <w:end w:w="120" w:type="dxa"/>
            </w:tcMar>
          </w:tcPr>
          <w:p>
            <w:pPr>
              <w:spacing w:after="0"/>
            </w:pPr>
            <w:r>
              <w:rPr>
                <w:rFonts w:ascii="Arial" w:hAnsi="Arial"/>
                <w:b w:val="0"/>
                <w:i w:val="0"/>
                <w:color w:val="111111"/>
                <w:sz w:val="15"/>
              </w:rPr>
              <w:t>Obtain</w:t>
            </w:r>
          </w:p>
        </w:tc>
      </w:tr>
    </w:tbl>
    <w:p>
      <w:pPr>
        <w:spacing w:after="40"/>
      </w:pPr>
    </w:p>
    <w:p>
      <w:pPr>
        <w:keepNext w:val="0"/>
        <w:spacing w:after="120"/>
      </w:pPr>
      <w:r>
        <w:rPr>
          <w:rFonts w:ascii="Arial" w:hAnsi="Arial"/>
          <w:b w:val="0"/>
          <w:i w:val="0"/>
          <w:color w:val="555555"/>
          <w:sz w:val="17"/>
        </w:rPr>
        <w:t>Commercial evidence such as live quotations, LOIs, site models, licences and legal confirmations must be dated and tied to the actual transaction or operating entity.</w:t>
      </w:r>
    </w:p>
    <w:p>
      <w:pPr>
        <w:pStyle w:val="Heading1"/>
      </w:pPr>
      <w:r>
        <w:t>Conflicting or updated information</w:t>
      </w:r>
    </w:p>
    <w:tbl>
      <w:tblPr>
        <w:tblStyle w:val="TableGrid"/>
        <w:tblW w:type="dxa" w:w="9640"/>
        <w:tblLayout w:type="fixed"/>
        <w:tblLook w:firstColumn="1" w:firstRow="1" w:lastColumn="0" w:lastRow="0" w:noHBand="0" w:noVBand="1" w:val="04A0"/>
        <w:jc w:val="left"/>
        <w:tblInd w:w="0" w:type="dxa"/>
      </w:tblPr>
      <w:tblGrid>
        <w:gridCol w:w="1700"/>
        <w:gridCol w:w="2600"/>
        <w:gridCol w:w="2500"/>
        <w:gridCol w:w="2840"/>
      </w:tblGrid>
      <w:tr>
        <w:trPr>
          <w:cantSplit/>
          <w:tblHeader w:val="true"/>
          <w:cantSplit/>
        </w:trPr>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4"/>
              </w:rPr>
              <w:t>TOPIC</w:t>
            </w:r>
          </w:p>
        </w:tc>
        <w:tc>
          <w:tcPr>
            <w:tcW w:type="dxa" w:w="2600"/>
            <w:tcMar>
              <w:top w:w="90" w:type="dxa"/>
              <w:start w:w="120" w:type="dxa"/>
              <w:bottom w:w="90" w:type="dxa"/>
              <w:end w:w="120" w:type="dxa"/>
            </w:tcMar>
            <w:shd w:fill="111111"/>
            <w:vAlign w:val="center"/>
          </w:tcPr>
          <w:p>
            <w:pPr>
              <w:spacing w:after="0"/>
            </w:pPr>
            <w:r>
              <w:rPr>
                <w:rFonts w:ascii="Arial" w:hAnsi="Arial"/>
                <w:b/>
                <w:i w:val="0"/>
                <w:color w:val="FFFFFF"/>
                <w:sz w:val="14"/>
              </w:rPr>
              <w:t>EARLIER FIGURE OR STATEMENT</w:t>
            </w:r>
          </w:p>
        </w:tc>
        <w:tc>
          <w:tcPr>
            <w:tcW w:type="dxa" w:w="2500"/>
            <w:tcMar>
              <w:top w:w="90" w:type="dxa"/>
              <w:start w:w="120" w:type="dxa"/>
              <w:bottom w:w="90" w:type="dxa"/>
              <w:end w:w="120" w:type="dxa"/>
            </w:tcMar>
            <w:shd w:fill="111111"/>
            <w:vAlign w:val="center"/>
          </w:tcPr>
          <w:p>
            <w:pPr>
              <w:spacing w:after="0"/>
            </w:pPr>
            <w:r>
              <w:rPr>
                <w:rFonts w:ascii="Arial" w:hAnsi="Arial"/>
                <w:b/>
                <w:i w:val="0"/>
                <w:color w:val="FFFFFF"/>
                <w:sz w:val="14"/>
              </w:rPr>
              <w:t>CONTROLLING POSITION</w:t>
            </w:r>
          </w:p>
        </w:tc>
        <w:tc>
          <w:tcPr>
            <w:tcW w:type="dxa" w:w="2840"/>
            <w:tcMar>
              <w:top w:w="90" w:type="dxa"/>
              <w:start w:w="120" w:type="dxa"/>
              <w:bottom w:w="90" w:type="dxa"/>
              <w:end w:w="120" w:type="dxa"/>
            </w:tcMar>
            <w:shd w:fill="111111"/>
            <w:vAlign w:val="center"/>
          </w:tcPr>
          <w:p>
            <w:pPr>
              <w:spacing w:after="0"/>
            </w:pPr>
            <w:r>
              <w:rPr>
                <w:rFonts w:ascii="Arial" w:hAnsi="Arial"/>
                <w:b/>
                <w:i w:val="0"/>
                <w:color w:val="FFFFFF"/>
                <w:sz w:val="14"/>
              </w:rPr>
              <w:t>RESOLUTION</w:t>
            </w:r>
          </w:p>
        </w:tc>
      </w:tr>
      <w:tr>
        <w:trPr>
          <w:cantSplit/>
          <w:cantSplit/>
        </w:trPr>
        <w:tc>
          <w:tcPr>
            <w:tcW w:type="dxa" w:w="1700"/>
            <w:shd w:fill="F3F3F3"/>
            <w:vAlign w:val="top"/>
            <w:tcMar>
              <w:top w:w="90" w:type="dxa"/>
              <w:start w:w="120" w:type="dxa"/>
              <w:bottom w:w="90" w:type="dxa"/>
              <w:end w:w="120" w:type="dxa"/>
            </w:tcMar>
          </w:tcPr>
          <w:p>
            <w:pPr>
              <w:spacing w:after="0"/>
            </w:pPr>
            <w:r>
              <w:rPr>
                <w:rFonts w:ascii="Arial" w:hAnsi="Arial"/>
                <w:b/>
                <w:i w:val="0"/>
                <w:color w:val="111111"/>
                <w:sz w:val="14"/>
              </w:rPr>
              <w:t>Illustrative ROI</w:t>
            </w:r>
          </w:p>
        </w:tc>
        <w:tc>
          <w:tcPr>
            <w:tcW w:type="dxa" w:w="2600"/>
            <w:shd w:fill="F3F3F3"/>
            <w:vAlign w:val="top"/>
            <w:tcMar>
              <w:top w:w="90" w:type="dxa"/>
              <w:start w:w="120" w:type="dxa"/>
              <w:bottom w:w="90" w:type="dxa"/>
              <w:end w:w="120" w:type="dxa"/>
            </w:tcMar>
          </w:tcPr>
          <w:p>
            <w:pPr>
              <w:spacing w:after="0"/>
            </w:pPr>
            <w:r>
              <w:rPr>
                <w:rFonts w:ascii="Arial" w:hAnsi="Arial"/>
                <w:b w:val="0"/>
                <w:i w:val="0"/>
                <w:color w:val="111111"/>
                <w:sz w:val="14"/>
              </w:rPr>
              <w:t>AED15M case stated approximately 10% ROI</w:t>
            </w:r>
          </w:p>
        </w:tc>
        <w:tc>
          <w:tcPr>
            <w:tcW w:type="dxa" w:w="2500"/>
            <w:shd w:fill="F3F3F3"/>
            <w:vAlign w:val="top"/>
            <w:tcMar>
              <w:top w:w="90" w:type="dxa"/>
              <w:start w:w="120" w:type="dxa"/>
              <w:bottom w:w="90" w:type="dxa"/>
              <w:end w:w="120" w:type="dxa"/>
            </w:tcMar>
          </w:tcPr>
          <w:p>
            <w:pPr>
              <w:spacing w:after="0"/>
            </w:pPr>
            <w:r>
              <w:rPr>
                <w:rFonts w:ascii="Arial" w:hAnsi="Arial"/>
                <w:b w:val="0"/>
                <w:i w:val="0"/>
                <w:color w:val="111111"/>
                <w:sz w:val="14"/>
              </w:rPr>
              <w:t>AED2M / AED23M = approximately 8.7%</w:t>
            </w:r>
          </w:p>
        </w:tc>
        <w:tc>
          <w:tcPr>
            <w:tcW w:type="dxa" w:w="2840"/>
            <w:shd w:fill="F3F3F3"/>
            <w:vAlign w:val="top"/>
            <w:tcMar>
              <w:top w:w="90" w:type="dxa"/>
              <w:start w:w="120" w:type="dxa"/>
              <w:bottom w:w="90" w:type="dxa"/>
              <w:end w:w="120" w:type="dxa"/>
            </w:tcMar>
          </w:tcPr>
          <w:p>
            <w:pPr>
              <w:spacing w:after="0"/>
            </w:pPr>
            <w:r>
              <w:rPr>
                <w:rFonts w:ascii="Arial" w:hAnsi="Arial"/>
                <w:b w:val="0"/>
                <w:i w:val="0"/>
                <w:color w:val="111111"/>
                <w:sz w:val="14"/>
              </w:rPr>
              <w:t>Do not publish a rounded portfolio return; retain examples only in conflict appendix.</w:t>
            </w:r>
          </w:p>
        </w:tc>
      </w:tr>
      <w:tr>
        <w:trPr>
          <w:cantSplit/>
          <w:cantSplit/>
        </w:trPr>
        <w:tc>
          <w:tcPr>
            <w:tcW w:type="dxa" w:w="1700"/>
            <w:shd w:fill="FFFFFF"/>
            <w:vAlign w:val="top"/>
            <w:tcMar>
              <w:top w:w="90" w:type="dxa"/>
              <w:start w:w="120" w:type="dxa"/>
              <w:bottom w:w="90" w:type="dxa"/>
              <w:end w:w="120" w:type="dxa"/>
            </w:tcMar>
          </w:tcPr>
          <w:p>
            <w:pPr>
              <w:spacing w:after="0"/>
            </w:pPr>
            <w:r>
              <w:rPr>
                <w:rFonts w:ascii="Arial" w:hAnsi="Arial"/>
                <w:b/>
                <w:i w:val="0"/>
                <w:color w:val="111111"/>
                <w:sz w:val="14"/>
              </w:rPr>
              <w:t>Illustrative ROI</w:t>
            </w:r>
          </w:p>
        </w:tc>
        <w:tc>
          <w:tcPr>
            <w:tcW w:type="dxa" w:w="2600"/>
            <w:shd w:fill="FFFFFF"/>
            <w:vAlign w:val="top"/>
            <w:tcMar>
              <w:top w:w="90" w:type="dxa"/>
              <w:start w:w="120" w:type="dxa"/>
              <w:bottom w:w="90" w:type="dxa"/>
              <w:end w:w="120" w:type="dxa"/>
            </w:tcMar>
          </w:tcPr>
          <w:p>
            <w:pPr>
              <w:spacing w:after="0"/>
            </w:pPr>
            <w:r>
              <w:rPr>
                <w:rFonts w:ascii="Arial" w:hAnsi="Arial"/>
                <w:b w:val="0"/>
                <w:i w:val="0"/>
                <w:color w:val="111111"/>
                <w:sz w:val="14"/>
              </w:rPr>
              <w:t>AED25M case stated approximately 25% ROI</w:t>
            </w:r>
          </w:p>
        </w:tc>
        <w:tc>
          <w:tcPr>
            <w:tcW w:type="dxa" w:w="2500"/>
            <w:shd w:fill="FFFFFF"/>
            <w:vAlign w:val="top"/>
            <w:tcMar>
              <w:top w:w="90" w:type="dxa"/>
              <w:start w:w="120" w:type="dxa"/>
              <w:bottom w:w="90" w:type="dxa"/>
              <w:end w:w="120" w:type="dxa"/>
            </w:tcMar>
          </w:tcPr>
          <w:p>
            <w:pPr>
              <w:spacing w:after="0"/>
            </w:pPr>
            <w:r>
              <w:rPr>
                <w:rFonts w:ascii="Arial" w:hAnsi="Arial"/>
                <w:b w:val="0"/>
                <w:i w:val="0"/>
                <w:color w:val="111111"/>
                <w:sz w:val="14"/>
              </w:rPr>
              <w:t>AED7.5M / AED32.5M = approximately 23.1%</w:t>
            </w:r>
          </w:p>
        </w:tc>
        <w:tc>
          <w:tcPr>
            <w:tcW w:type="dxa" w:w="2840"/>
            <w:shd w:fill="FFFFFF"/>
            <w:vAlign w:val="top"/>
            <w:tcMar>
              <w:top w:w="90" w:type="dxa"/>
              <w:start w:w="120" w:type="dxa"/>
              <w:bottom w:w="90" w:type="dxa"/>
              <w:end w:w="120" w:type="dxa"/>
            </w:tcMar>
          </w:tcPr>
          <w:p>
            <w:pPr>
              <w:spacing w:after="0"/>
            </w:pPr>
            <w:r>
              <w:rPr>
                <w:rFonts w:ascii="Arial" w:hAnsi="Arial"/>
                <w:b w:val="0"/>
                <w:i w:val="0"/>
                <w:color w:val="111111"/>
                <w:sz w:val="14"/>
              </w:rPr>
              <w:t>Treat as illustrative property arithmetic, not a portfolio forecast.</w:t>
            </w:r>
          </w:p>
        </w:tc>
      </w:tr>
      <w:tr>
        <w:trPr>
          <w:cantSplit/>
          <w:cantSplit/>
        </w:trPr>
        <w:tc>
          <w:tcPr>
            <w:tcW w:type="dxa" w:w="1700"/>
            <w:shd w:fill="F3F3F3"/>
            <w:vAlign w:val="top"/>
            <w:tcMar>
              <w:top w:w="90" w:type="dxa"/>
              <w:start w:w="120" w:type="dxa"/>
              <w:bottom w:w="90" w:type="dxa"/>
              <w:end w:w="120" w:type="dxa"/>
            </w:tcMar>
          </w:tcPr>
          <w:p>
            <w:pPr>
              <w:spacing w:after="0"/>
            </w:pPr>
            <w:r>
              <w:rPr>
                <w:rFonts w:ascii="Arial" w:hAnsi="Arial"/>
                <w:b/>
                <w:i w:val="0"/>
                <w:color w:val="111111"/>
                <w:sz w:val="14"/>
              </w:rPr>
              <w:t>Return terminology</w:t>
            </w:r>
          </w:p>
        </w:tc>
        <w:tc>
          <w:tcPr>
            <w:tcW w:type="dxa" w:w="2600"/>
            <w:shd w:fill="F3F3F3"/>
            <w:vAlign w:val="top"/>
            <w:tcMar>
              <w:top w:w="90" w:type="dxa"/>
              <w:start w:w="120" w:type="dxa"/>
              <w:bottom w:w="90" w:type="dxa"/>
              <w:end w:w="120" w:type="dxa"/>
            </w:tcMar>
          </w:tcPr>
          <w:p>
            <w:pPr>
              <w:spacing w:after="0"/>
            </w:pPr>
            <w:r>
              <w:rPr>
                <w:rFonts w:ascii="Arial" w:hAnsi="Arial"/>
                <w:b w:val="0"/>
                <w:i w:val="0"/>
                <w:color w:val="111111"/>
                <w:sz w:val="14"/>
              </w:rPr>
              <w:t>25-30% net profit on cost implying 15-20%+ ROI</w:t>
            </w:r>
          </w:p>
        </w:tc>
        <w:tc>
          <w:tcPr>
            <w:tcW w:type="dxa" w:w="2500"/>
            <w:shd w:fill="F3F3F3"/>
            <w:vAlign w:val="top"/>
            <w:tcMar>
              <w:top w:w="90" w:type="dxa"/>
              <w:start w:w="120" w:type="dxa"/>
              <w:bottom w:w="90" w:type="dxa"/>
              <w:end w:w="120" w:type="dxa"/>
            </w:tcMar>
          </w:tcPr>
          <w:p>
            <w:pPr>
              <w:spacing w:after="0"/>
            </w:pPr>
            <w:r>
              <w:rPr>
                <w:rFonts w:ascii="Arial" w:hAnsi="Arial"/>
                <w:b w:val="0"/>
                <w:i w:val="0"/>
                <w:color w:val="111111"/>
                <w:sz w:val="14"/>
              </w:rPr>
              <w:t>Profit on cost is itself an ROI measure</w:t>
            </w:r>
          </w:p>
        </w:tc>
        <w:tc>
          <w:tcPr>
            <w:tcW w:type="dxa" w:w="2840"/>
            <w:shd w:fill="F3F3F3"/>
            <w:vAlign w:val="top"/>
            <w:tcMar>
              <w:top w:w="90" w:type="dxa"/>
              <w:start w:w="120" w:type="dxa"/>
              <w:bottom w:w="90" w:type="dxa"/>
              <w:end w:w="120" w:type="dxa"/>
            </w:tcMar>
          </w:tcPr>
          <w:p>
            <w:pPr>
              <w:spacing w:after="0"/>
            </w:pPr>
            <w:r>
              <w:rPr>
                <w:rFonts w:ascii="Arial" w:hAnsi="Arial"/>
                <w:b w:val="0"/>
                <w:i w:val="0"/>
                <w:color w:val="111111"/>
                <w:sz w:val="14"/>
              </w:rPr>
              <w:t>Define one return convention property-by-property.</w:t>
            </w:r>
          </w:p>
        </w:tc>
      </w:tr>
    </w:tbl>
    <w:p>
      <w:pPr>
        <w:spacing w:after="40"/>
      </w:pPr>
    </w:p>
    <w:p>
      <w:r>
        <w:br w:type="page"/>
      </w:r>
    </w:p>
    <w:p>
      <w:pPr>
        <w:pStyle w:val="Heading1"/>
      </w:pPr>
      <w:r>
        <w:t>Material claim register</w:t>
      </w:r>
    </w:p>
    <w:tbl>
      <w:tblPr>
        <w:tblStyle w:val="TableGrid"/>
        <w:tblW w:type="dxa" w:w="9640"/>
        <w:tblLayout w:type="fixed"/>
        <w:tblLook w:firstColumn="1" w:firstRow="1" w:lastColumn="0" w:lastRow="0" w:noHBand="0" w:noVBand="1" w:val="04A0"/>
        <w:jc w:val="left"/>
        <w:tblInd w:w="0" w:type="dxa"/>
      </w:tblPr>
      <w:tblGrid>
        <w:gridCol w:w="1100"/>
        <w:gridCol w:w="1900"/>
        <w:gridCol w:w="1500"/>
        <w:gridCol w:w="1300"/>
        <w:gridCol w:w="2100"/>
        <w:gridCol w:w="1740"/>
      </w:tblGrid>
      <w:tr>
        <w:trPr>
          <w:cantSplit/>
          <w:tblHeader w:val="true"/>
          <w:cantSplit/>
        </w:trPr>
        <w:tc>
          <w:tcPr>
            <w:tcW w:type="dxa" w:w="1100"/>
            <w:tcMar>
              <w:top w:w="90" w:type="dxa"/>
              <w:start w:w="120" w:type="dxa"/>
              <w:bottom w:w="90" w:type="dxa"/>
              <w:end w:w="120" w:type="dxa"/>
            </w:tcMar>
            <w:shd w:fill="111111"/>
            <w:vAlign w:val="center"/>
          </w:tcPr>
          <w:p>
            <w:pPr>
              <w:spacing w:after="0"/>
            </w:pPr>
            <w:r>
              <w:rPr>
                <w:rFonts w:ascii="Arial" w:hAnsi="Arial"/>
                <w:b/>
                <w:i w:val="0"/>
                <w:color w:val="FFFFFF"/>
                <w:sz w:val="14"/>
              </w:rPr>
              <w:t>CLAIM</w:t>
            </w:r>
          </w:p>
        </w:tc>
        <w:tc>
          <w:tcPr>
            <w:tcW w:type="dxa" w:w="1900"/>
            <w:tcMar>
              <w:top w:w="90" w:type="dxa"/>
              <w:start w:w="120" w:type="dxa"/>
              <w:bottom w:w="90" w:type="dxa"/>
              <w:end w:w="120" w:type="dxa"/>
            </w:tcMar>
            <w:shd w:fill="111111"/>
            <w:vAlign w:val="center"/>
          </w:tcPr>
          <w:p>
            <w:pPr>
              <w:spacing w:after="0"/>
            </w:pPr>
            <w:r>
              <w:rPr>
                <w:rFonts w:ascii="Arial" w:hAnsi="Arial"/>
                <w:b/>
                <w:i w:val="0"/>
                <w:color w:val="FFFFFF"/>
                <w:sz w:val="14"/>
              </w:rPr>
              <w:t>METRIC</w:t>
            </w:r>
          </w:p>
        </w:tc>
        <w:tc>
          <w:tcPr>
            <w:tcW w:type="dxa" w:w="1500"/>
            <w:tcMar>
              <w:top w:w="90" w:type="dxa"/>
              <w:start w:w="120" w:type="dxa"/>
              <w:bottom w:w="90" w:type="dxa"/>
              <w:end w:w="120" w:type="dxa"/>
            </w:tcMar>
            <w:shd w:fill="111111"/>
            <w:vAlign w:val="center"/>
          </w:tcPr>
          <w:p>
            <w:pPr>
              <w:spacing w:after="0"/>
            </w:pPr>
            <w:r>
              <w:rPr>
                <w:rFonts w:ascii="Arial" w:hAnsi="Arial"/>
                <w:b/>
                <w:i w:val="0"/>
                <w:color w:val="FFFFFF"/>
                <w:sz w:val="14"/>
              </w:rPr>
              <w:t>VALUE</w:t>
            </w:r>
          </w:p>
        </w:tc>
        <w:tc>
          <w:tcPr>
            <w:tcW w:type="dxa" w:w="1300"/>
            <w:tcMar>
              <w:top w:w="90" w:type="dxa"/>
              <w:start w:w="120" w:type="dxa"/>
              <w:bottom w:w="90" w:type="dxa"/>
              <w:end w:w="120" w:type="dxa"/>
            </w:tcMar>
            <w:shd w:fill="111111"/>
            <w:vAlign w:val="center"/>
          </w:tcPr>
          <w:p>
            <w:pPr>
              <w:spacing w:after="0"/>
            </w:pPr>
            <w:r>
              <w:rPr>
                <w:rFonts w:ascii="Arial" w:hAnsi="Arial"/>
                <w:b/>
                <w:i w:val="0"/>
                <w:color w:val="FFFFFF"/>
                <w:sz w:val="14"/>
              </w:rPr>
              <w:t>PERIOD</w:t>
            </w:r>
          </w:p>
        </w:tc>
        <w:tc>
          <w:tcPr>
            <w:tcW w:type="dxa" w:w="2100"/>
            <w:tcMar>
              <w:top w:w="90" w:type="dxa"/>
              <w:start w:w="120" w:type="dxa"/>
              <w:bottom w:w="90" w:type="dxa"/>
              <w:end w:w="120" w:type="dxa"/>
            </w:tcMar>
            <w:shd w:fill="111111"/>
            <w:vAlign w:val="center"/>
          </w:tcPr>
          <w:p>
            <w:pPr>
              <w:spacing w:after="0"/>
            </w:pPr>
            <w:r>
              <w:rPr>
                <w:rFonts w:ascii="Arial" w:hAnsi="Arial"/>
                <w:b/>
                <w:i w:val="0"/>
                <w:color w:val="FFFFFF"/>
                <w:sz w:val="14"/>
              </w:rPr>
              <w:t>EVIDENCE</w:t>
            </w:r>
          </w:p>
        </w:tc>
        <w:tc>
          <w:tcPr>
            <w:tcW w:type="dxa" w:w="1740"/>
            <w:tcMar>
              <w:top w:w="90" w:type="dxa"/>
              <w:start w:w="120" w:type="dxa"/>
              <w:bottom w:w="90" w:type="dxa"/>
              <w:end w:w="120" w:type="dxa"/>
            </w:tcMar>
            <w:shd w:fill="111111"/>
            <w:vAlign w:val="center"/>
          </w:tcPr>
          <w:p>
            <w:pPr>
              <w:spacing w:after="0"/>
            </w:pPr>
            <w:r>
              <w:rPr>
                <w:rFonts w:ascii="Arial" w:hAnsi="Arial"/>
                <w:b/>
                <w:i w:val="0"/>
                <w:color w:val="FFFFFF"/>
                <w:sz w:val="14"/>
              </w:rPr>
              <w:t>SOURCE / LIMITATION</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V02-C01</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Business engines</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3 engines</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 strategy</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COMPANY-REPORTED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S04/S05. Each engine can be included or excluded independently.</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V02-C02</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Preferred acquisition range</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AED 20-50M AED/property</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2026 research recommendation</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S05. Research recommendation, not a transaction commitment.</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V02-C03</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Target cycle</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12-15 months months</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 research recommendation</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S05. Property-specific schedule required.</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V02-C04</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Dubai transactions above USD10M</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435 transactions</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2024</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INDUSTRY ESTIMATE</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S05. Industry/DLD-derived evidence as preserved in research.</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V02-C05</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Value of USD10M+ transactions</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36.7B AED</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2024</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INDUSTRY ESTIMATE</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S05. Industry/DLD-derived evidence.</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V02-C06</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Portfolio-wide return</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Not established n/a</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2026</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NOT PUBLICLY VERIFIED</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S04/S05. Do not use the illustrative property ROIs as portfolio forecasts.</w:t>
            </w:r>
          </w:p>
        </w:tc>
      </w:tr>
    </w:tbl>
    <w:p>
      <w:pPr>
        <w:spacing w:after="40"/>
      </w:pPr>
    </w:p>
    <w:p>
      <w:pPr>
        <w:pStyle w:val="Heading1"/>
      </w:pPr>
      <w:r>
        <w:t>Source register</w:t>
      </w:r>
    </w:p>
    <w:p>
      <w:pPr>
        <w:spacing w:after="40"/>
      </w:pPr>
      <w:r>
        <w:rPr>
          <w:rFonts w:ascii="Arial" w:hAnsi="Arial"/>
          <w:b/>
          <w:i w:val="0"/>
          <w:color w:val="111111"/>
          <w:sz w:val="18"/>
        </w:rPr>
        <w:t>[S04] Alfa Home Proposition and Catalogues</w:t>
      </w:r>
    </w:p>
    <w:p>
      <w:pPr>
        <w:spacing w:after="80"/>
      </w:pPr>
      <w:r>
        <w:rPr>
          <w:rFonts w:ascii="Arial" w:hAnsi="Arial"/>
          <w:b/>
          <w:i w:val="0"/>
          <w:color w:val="555555"/>
          <w:sz w:val="19"/>
        </w:rPr>
        <w:t xml:space="preserve">Organisation / type: </w:t>
      </w:r>
      <w:r>
        <w:rPr>
          <w:rFonts w:ascii="Arial" w:hAnsi="Arial"/>
          <w:b w:val="0"/>
          <w:i w:val="0"/>
          <w:color w:val="111111"/>
          <w:sz w:val="19"/>
        </w:rPr>
        <w:t>Company documents</w:t>
      </w:r>
    </w:p>
    <w:p>
      <w:pPr>
        <w:spacing w:after="80"/>
      </w:pPr>
      <w:r>
        <w:rPr>
          <w:rFonts w:ascii="Arial" w:hAnsi="Arial"/>
          <w:b/>
          <w:i w:val="0"/>
          <w:color w:val="555555"/>
          <w:sz w:val="19"/>
        </w:rPr>
        <w:t xml:space="preserve">Date: </w:t>
      </w:r>
      <w:r>
        <w:rPr>
          <w:rFonts w:ascii="Arial" w:hAnsi="Arial"/>
          <w:b w:val="0"/>
          <w:i w:val="0"/>
          <w:color w:val="111111"/>
          <w:sz w:val="19"/>
        </w:rPr>
        <w:t>2026</w:t>
      </w:r>
    </w:p>
    <w:p>
      <w:pPr>
        <w:spacing w:after="80"/>
      </w:pPr>
      <w:r>
        <w:rPr>
          <w:rFonts w:ascii="Arial" w:hAnsi="Arial"/>
          <w:b/>
          <w:i w:val="0"/>
          <w:color w:val="555555"/>
          <w:sz w:val="19"/>
        </w:rPr>
        <w:t xml:space="preserve">File: </w:t>
      </w:r>
      <w:r>
        <w:rPr>
          <w:rFonts w:ascii="Arial" w:hAnsi="Arial"/>
          <w:b w:val="0"/>
          <w:i w:val="0"/>
          <w:color w:val="111111"/>
          <w:sz w:val="19"/>
        </w:rPr>
        <w:t>Alfa-Home-Proposition.pdf; catalogues</w:t>
      </w:r>
    </w:p>
    <w:p>
      <w:pPr>
        <w:spacing w:after="80"/>
      </w:pPr>
      <w:r>
        <w:rPr>
          <w:rFonts w:ascii="Arial" w:hAnsi="Arial"/>
          <w:b/>
          <w:i w:val="0"/>
          <w:color w:val="555555"/>
          <w:sz w:val="19"/>
        </w:rPr>
        <w:t xml:space="preserve">Supports: </w:t>
      </w:r>
      <w:r>
        <w:rPr>
          <w:rFonts w:ascii="Arial" w:hAnsi="Arial"/>
          <w:b w:val="0"/>
          <w:i w:val="0"/>
          <w:color w:val="111111"/>
          <w:sz w:val="19"/>
        </w:rPr>
        <w:t>Three-engine platform, furniture production and brand proposition.</w:t>
      </w:r>
    </w:p>
    <w:p>
      <w:pPr>
        <w:keepNext w:val="0"/>
        <w:spacing w:after="160"/>
      </w:pPr>
      <w:r>
        <w:rPr>
          <w:rFonts w:ascii="Arial" w:hAnsi="Arial"/>
          <w:b w:val="0"/>
          <w:i/>
          <w:color w:val="888888"/>
          <w:sz w:val="17"/>
        </w:rPr>
        <w:t>Original external URL is not recorded in the controlling register.</w:t>
      </w:r>
    </w:p>
    <w:p>
      <w:pPr>
        <w:spacing w:after="40"/>
      </w:pPr>
      <w:r>
        <w:rPr>
          <w:rFonts w:ascii="Arial" w:hAnsi="Arial"/>
          <w:b/>
          <w:i w:val="0"/>
          <w:color w:val="111111"/>
          <w:sz w:val="18"/>
        </w:rPr>
        <w:t>[S05] Luxury Villa Value-Add Deep Research</w:t>
      </w:r>
    </w:p>
    <w:p>
      <w:pPr>
        <w:spacing w:after="80"/>
      </w:pPr>
      <w:r>
        <w:rPr>
          <w:rFonts w:ascii="Arial" w:hAnsi="Arial"/>
          <w:b/>
          <w:i w:val="0"/>
          <w:color w:val="555555"/>
          <w:sz w:val="19"/>
        </w:rPr>
        <w:t xml:space="preserve">Organisation / type: </w:t>
      </w:r>
      <w:r>
        <w:rPr>
          <w:rFonts w:ascii="Arial" w:hAnsi="Arial"/>
          <w:b w:val="0"/>
          <w:i w:val="0"/>
          <w:color w:val="111111"/>
          <w:sz w:val="19"/>
        </w:rPr>
        <w:t>Consolidated research</w:t>
      </w:r>
    </w:p>
    <w:p>
      <w:pPr>
        <w:spacing w:after="80"/>
      </w:pPr>
      <w:r>
        <w:rPr>
          <w:rFonts w:ascii="Arial" w:hAnsi="Arial"/>
          <w:b/>
          <w:i w:val="0"/>
          <w:color w:val="555555"/>
          <w:sz w:val="19"/>
        </w:rPr>
        <w:t xml:space="preserve">Date: </w:t>
      </w:r>
      <w:r>
        <w:rPr>
          <w:rFonts w:ascii="Arial" w:hAnsi="Arial"/>
          <w:b w:val="0"/>
          <w:i w:val="0"/>
          <w:color w:val="111111"/>
          <w:sz w:val="19"/>
        </w:rPr>
        <w:t>2026-08-24</w:t>
      </w:r>
    </w:p>
    <w:p>
      <w:pPr>
        <w:spacing w:after="80"/>
      </w:pPr>
      <w:r>
        <w:rPr>
          <w:rFonts w:ascii="Arial" w:hAnsi="Arial"/>
          <w:b/>
          <w:i w:val="0"/>
          <w:color w:val="555555"/>
          <w:sz w:val="19"/>
        </w:rPr>
        <w:t xml:space="preserve">File: </w:t>
      </w:r>
      <w:r>
        <w:rPr>
          <w:rFonts w:ascii="Arial" w:hAnsi="Arial"/>
          <w:b w:val="0"/>
          <w:i w:val="0"/>
          <w:color w:val="111111"/>
          <w:sz w:val="19"/>
        </w:rPr>
        <w:t>Luxury-Villa-Value-Add-Deep-Research.pdf</w:t>
      </w:r>
    </w:p>
    <w:p>
      <w:pPr>
        <w:spacing w:after="80"/>
      </w:pPr>
      <w:r>
        <w:rPr>
          <w:rFonts w:ascii="Arial" w:hAnsi="Arial"/>
          <w:b/>
          <w:i w:val="0"/>
          <w:color w:val="555555"/>
          <w:sz w:val="19"/>
        </w:rPr>
        <w:t xml:space="preserve">Supports: </w:t>
      </w:r>
      <w:r>
        <w:rPr>
          <w:rFonts w:ascii="Arial" w:hAnsi="Arial"/>
          <w:b w:val="0"/>
          <w:i w:val="0"/>
          <w:color w:val="111111"/>
          <w:sz w:val="19"/>
        </w:rPr>
        <w:t>Villa market evidence, acquisition band, cycle and property-specific underwriting issues.</w:t>
      </w:r>
    </w:p>
    <w:p>
      <w:pPr>
        <w:keepNext w:val="0"/>
        <w:spacing w:after="160"/>
      </w:pPr>
      <w:r>
        <w:rPr>
          <w:rFonts w:ascii="Arial" w:hAnsi="Arial"/>
          <w:b w:val="0"/>
          <w:i/>
          <w:color w:val="888888"/>
          <w:sz w:val="17"/>
        </w:rPr>
        <w:t>Original external URL is not recorded in the controlling register.</w:t>
      </w:r>
    </w:p>
    <w:p>
      <w:pPr>
        <w:keepNext w:val="0"/>
        <w:spacing w:after="0"/>
        <w:jc w:val="center"/>
      </w:pPr>
      <w:r>
        <w:rPr>
          <w:rFonts w:ascii="Arial" w:hAnsi="Arial"/>
          <w:b/>
          <w:i w:val="0"/>
          <w:color w:val="888888"/>
          <w:sz w:val="16"/>
        </w:rPr>
        <w:t>END OF REPORT</w:t>
      </w:r>
    </w:p>
    <w:sectPr w:rsidR="00FC693F" w:rsidRPr="0006063C" w:rsidSect="00034616">
      <w:headerReference w:type="default" r:id="rId9"/>
      <w:footerReference w:type="default" r:id="rId10"/>
      <w:pgSz w:w="11906" w:h="16838"/>
      <w:pgMar w:top="1134" w:right="1134" w:bottom="1020" w:left="1134"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i w:val="0"/>
        <w:color w:val="888888"/>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4" w:space="4" w:color="D2D2D2"/>
      </w:pBdr>
    </w:pPr>
    <w:r>
      <w:drawing>
        <wp:inline xmlns:a="http://schemas.openxmlformats.org/drawingml/2006/main" xmlns:pic="http://schemas.openxmlformats.org/drawingml/2006/picture">
          <wp:extent cx="621792" cy="149001"/>
          <wp:docPr id="1" name="Picture 1"/>
          <wp:cNvGraphicFramePr>
            <a:graphicFrameLocks noChangeAspect="1"/>
          </wp:cNvGraphicFramePr>
          <a:graphic>
            <a:graphicData uri="http://schemas.openxmlformats.org/drawingml/2006/picture">
              <pic:pic>
                <pic:nvPicPr>
                  <pic:cNvPr id="0" name="imperial-alfa-mark.png"/>
                  <pic:cNvPicPr/>
                </pic:nvPicPr>
                <pic:blipFill>
                  <a:blip r:embed="rId1"/>
                  <a:stretch>
                    <a:fillRect/>
                  </a:stretch>
                </pic:blipFill>
                <pic:spPr>
                  <a:xfrm>
                    <a:off x="0" y="0"/>
                    <a:ext cx="621792" cy="149001"/>
                  </a:xfrm>
                  <a:prstGeom prst="rect"/>
                </pic:spPr>
              </pic:pic>
            </a:graphicData>
          </a:graphic>
        </wp:inline>
      </w:drawing>
    </w:r>
    <w:r>
      <w:rPr>
        <w:rFonts w:ascii="Arial" w:hAnsi="Arial"/>
        <w:b w:val="0"/>
        <w:i w:val="0"/>
        <w:color w:val="888888"/>
        <w:sz w:val="16"/>
      </w:rPr>
      <w:t xml:space="preserve">   NEW VENTURES   /   FULL RESEARCH   /   31 AUGUST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color w:val="111111"/>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Arial" w:hAnsi="Arial"/>
      <w:b/>
      <w:bCs/>
      <w:color w:val="111111"/>
      <w:sz w:val="36"/>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rial" w:hAnsi="Arial"/>
      <w:b/>
      <w:bCs/>
      <w:color w:val="111111"/>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55555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line="240" w:lineRule="auto" w:before="0"/>
      <w:contextualSpacing/>
    </w:pPr>
    <w:rPr>
      <w:rFonts w:asciiTheme="majorHAnsi" w:eastAsiaTheme="majorEastAsia" w:hAnsiTheme="majorHAnsi" w:cstheme="majorBidi" w:ascii="Arial" w:hAnsi="Arial"/>
      <w:b/>
      <w:color w:val="111111"/>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rial" w:hAnsi="Arial"/>
      <w:b w:val="0"/>
      <w:i/>
      <w:iCs/>
      <w:color w:val="555555"/>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59" w:lineRule="auto"/>
      <w:ind w:left="346" w:hanging="230"/>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59" w:lineRule="auto"/>
      <w:ind w:left="346" w:hanging="230"/>
      <w:contextualSpacing/>
    </w:pPr>
    <w:rPr>
      <w:rFonts w:ascii="Arial" w:hAnsi="Arial"/>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spacing w:after="140"/>
    </w:pPr>
    <w:rPr>
      <w:rFonts w:ascii="Arial" w:hAnsi="Arial"/>
      <w:b/>
      <w:color w:val="88888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Alfa Home - Consolidated Deep Research</dc:title>
  <dc:subject>Consolidated Deep Research</dc:subject>
  <dc:creator>ALFA New Ventures</dc:creator>
  <cp:keywords>UAE, venture research, decision review, 2026</cp:keywords>
  <dc:description>Built from the controlling data register dated 31 August 2026.</dc:description>
  <cp:lastModifiedBy/>
  <cp:revision>1</cp:revision>
  <dcterms:created xsi:type="dcterms:W3CDTF">2013-12-23T23:15:00Z</dcterms:created>
  <dcterms:modified xsi:type="dcterms:W3CDTF">2013-12-23T23:15:00Z</dcterms:modified>
  <cp:category/>
</cp:coreProperties>
</file>