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</w:pPr>
      <w:r>
        <w:drawing>
          <wp:inline xmlns:a="http://schemas.openxmlformats.org/drawingml/2006/main" xmlns:pic="http://schemas.openxmlformats.org/drawingml/2006/picture">
            <wp:extent cx="658368" cy="15776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perial-alfa-mark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157766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xmlns:a="http://schemas.openxmlformats.org/drawingml/2006/main" xmlns:pic="http://schemas.openxmlformats.org/drawingml/2006/picture">
            <wp:extent cx="822960" cy="13089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fa-hom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30896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xmlns:a="http://schemas.openxmlformats.org/drawingml/2006/main" xmlns:pic="http://schemas.openxmlformats.org/drawingml/2006/picture">
            <wp:extent cx="658368" cy="28483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phalt-alpha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28483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xmlns:a="http://schemas.openxmlformats.org/drawingml/2006/main" xmlns:pic="http://schemas.openxmlformats.org/drawingml/2006/picture">
            <wp:extent cx="822960" cy="22515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zoubi-production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225156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xmlns:a="http://schemas.openxmlformats.org/drawingml/2006/main" xmlns:pic="http://schemas.openxmlformats.org/drawingml/2006/picture">
            <wp:extent cx="786384" cy="38226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zoubi-trading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6384" cy="38226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xmlns:a="http://schemas.openxmlformats.org/drawingml/2006/main" xmlns:pic="http://schemas.openxmlformats.org/drawingml/2006/picture">
            <wp:extent cx="457200" cy="24600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ligo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46006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</w:t>
      </w:r>
    </w:p>
    <w:p>
      <w:pPr>
        <w:keepNext w:val="0"/>
        <w:spacing w:after="800"/>
      </w:pPr>
      <w:r>
        <w:rPr>
          <w:rFonts w:ascii="Arial" w:hAnsi="Arial"/>
          <w:b/>
          <w:i w:val="0"/>
          <w:color w:val="888888"/>
          <w:sz w:val="16"/>
        </w:rPr>
        <w:t>PORTFOLIO  /  CONSOLIDATED DECISION REPORT</w:t>
      </w:r>
    </w:p>
    <w:p>
      <w:pPr>
        <w:pStyle w:val="Title"/>
      </w:pPr>
      <w:r>
        <w:t>Eight ventures.</w:t>
        <w:br/>
        <w:t>One controlled evidence base.</w:t>
      </w:r>
    </w:p>
    <w:p>
      <w:pPr>
        <w:keepNext w:val="0"/>
        <w:spacing w:after="480"/>
      </w:pPr>
      <w:r>
        <w:rPr>
          <w:rFonts w:ascii="Arial" w:hAnsi="Arial"/>
          <w:b w:val="0"/>
          <w:i w:val="0"/>
          <w:color w:val="555555"/>
          <w:sz w:val="28"/>
        </w:rPr>
        <w:t>Comparative research, source register and document-room status</w:t>
      </w:r>
    </w:p>
    <w:p>
      <w:pPr>
        <w:spacing w:before="40" w:after="360"/>
        <w:pBdr>
          <w:bottom w:val="single" w:sz="8" w:space="1" w:color="111111"/>
        </w:pBdr>
      </w:pPr>
    </w:p>
    <w:p>
      <w:pPr>
        <w:spacing w:after="80"/>
      </w:pPr>
      <w:r>
        <w:rPr>
          <w:rFonts w:ascii="Arial" w:hAnsi="Arial"/>
          <w:b/>
          <w:i w:val="0"/>
          <w:color w:val="555555"/>
          <w:sz w:val="19"/>
        </w:rPr>
        <w:t xml:space="preserve">Data cut-off: </w:t>
      </w:r>
      <w:r>
        <w:rPr>
          <w:rFonts w:ascii="Arial" w:hAnsi="Arial"/>
          <w:b w:val="0"/>
          <w:i w:val="0"/>
          <w:color w:val="111111"/>
          <w:sz w:val="19"/>
        </w:rPr>
        <w:t>31 August 2026</w:t>
      </w:r>
    </w:p>
    <w:p>
      <w:pPr>
        <w:spacing w:after="80"/>
      </w:pPr>
      <w:r>
        <w:rPr>
          <w:rFonts w:ascii="Arial" w:hAnsi="Arial"/>
          <w:b/>
          <w:i w:val="0"/>
          <w:color w:val="555555"/>
          <w:sz w:val="19"/>
        </w:rPr>
        <w:t xml:space="preserve">Portfolio: </w:t>
      </w:r>
      <w:r>
        <w:rPr>
          <w:rFonts w:ascii="Arial" w:hAnsi="Arial"/>
          <w:b w:val="0"/>
          <w:i w:val="0"/>
          <w:color w:val="111111"/>
          <w:sz w:val="19"/>
        </w:rPr>
        <w:t>Eight UAE and Israel-first venture cases</w:t>
      </w:r>
    </w:p>
    <w:p>
      <w:pPr>
        <w:spacing w:after="80"/>
      </w:pPr>
      <w:r>
        <w:rPr>
          <w:rFonts w:ascii="Arial" w:hAnsi="Arial"/>
          <w:b/>
          <w:i w:val="0"/>
          <w:color w:val="555555"/>
          <w:sz w:val="19"/>
        </w:rPr>
        <w:t xml:space="preserve">Evidence base: </w:t>
      </w:r>
      <w:r>
        <w:rPr>
          <w:rFonts w:ascii="Arial" w:hAnsi="Arial"/>
          <w:b w:val="0"/>
          <w:i w:val="0"/>
          <w:color w:val="111111"/>
          <w:sz w:val="19"/>
        </w:rPr>
        <w:t>85 material claims / 20 conflicts / 13 source groups</w:t>
      </w:r>
    </w:p>
    <w:p>
      <w:pPr>
        <w:keepNext w:val="0"/>
        <w:spacing w:after="400"/>
      </w:pPr>
      <w:r>
        <w:rPr>
          <w:rFonts w:ascii="Arial" w:hAnsi="Arial"/>
          <w:b w:val="0"/>
          <w:i/>
          <w:color w:val="555555"/>
          <w:sz w:val="20"/>
        </w:rPr>
        <w:t>This report compares the locked cases. It does not replace transaction diligence, live quotations or management validation.</w:t>
      </w:r>
    </w:p>
    <w:p>
      <w:r>
        <w:br w:type="page"/>
      </w:r>
    </w:p>
    <w:p>
      <w:pPr>
        <w:pStyle w:val="Heading1"/>
      </w:pPr>
      <w:r>
        <w:t>Portfolio decisions</w:t>
      </w:r>
    </w:p>
    <w:tbl>
      <w:tblPr>
        <w:tblStyle w:val="TableGrid"/>
        <w:tblW w:type="dxa" w:w="9640"/>
        <w:tblLayout w:type="fixed"/>
        <w:tblLook w:firstColumn="1" w:firstRow="1" w:lastColumn="0" w:lastRow="0" w:noHBand="0" w:noVBand="1" w:val="04A0"/>
        <w:jc w:val="left"/>
        <w:tblInd w:w="0" w:type="dxa"/>
      </w:tblPr>
      <w:tblGrid>
        <w:gridCol w:w="650"/>
        <w:gridCol w:w="1800"/>
        <w:gridCol w:w="2200"/>
        <w:gridCol w:w="1500"/>
        <w:gridCol w:w="3490"/>
      </w:tblGrid>
      <w:tr>
        <w:trPr>
          <w:cantSplit/>
          <w:tblHeader w:val="true"/>
          <w:cantSplit/>
        </w:trP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ID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VENTURE</w:t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DECISION</w:t>
            </w:r>
          </w:p>
        </w:tc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RISK</w:t>
            </w:r>
          </w:p>
        </w:tc>
        <w:tc>
          <w:tcPr>
            <w:tcW w:type="dxa" w:w="349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GATE BEFORE COMMITMENT</w:t>
            </w:r>
          </w:p>
        </w:tc>
      </w:tr>
      <w:tr>
        <w:trPr>
          <w:cantSplit/>
          <w:cantSplit/>
        </w:trPr>
        <w:tc>
          <w:tcPr>
            <w:tcW w:type="dxa" w:w="65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V01</w:t>
            </w:r>
          </w:p>
        </w:tc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22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CONDITIONAL GO</w:t>
            </w:r>
          </w:p>
        </w:tc>
        <w:tc>
          <w:tcPr>
            <w:tcW w:type="dxa" w:w="15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Medium; medical module High</w:t>
            </w:r>
          </w:p>
        </w:tc>
        <w:tc>
          <w:tcPr>
            <w:tcW w:type="dxa" w:w="349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Tenant or anchor demand, site power, entry yield, complete installed cost and regulatory route must be confirmed before property commitment.</w:t>
            </w:r>
          </w:p>
        </w:tc>
      </w:tr>
      <w:tr>
        <w:trPr>
          <w:cantSplit/>
          <w:cantSplit/>
        </w:trPr>
        <w:tc>
          <w:tcPr>
            <w:tcW w:type="dxa" w:w="65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V02</w:t>
            </w:r>
          </w:p>
        </w:tc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22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CONDITIONAL GO</w:t>
            </w:r>
          </w:p>
        </w:tc>
        <w:tc>
          <w:tcPr>
            <w:tcW w:type="dxa" w:w="15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Medium-High</w:t>
            </w:r>
          </w:p>
        </w:tc>
        <w:tc>
          <w:tcPr>
            <w:tcW w:type="dxa" w:w="349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Approve only property-by-property after acquisition, renovation, holding, rental or exit economics are fully underwritten.</w:t>
            </w:r>
          </w:p>
        </w:tc>
      </w:tr>
      <w:tr>
        <w:trPr>
          <w:cantSplit/>
          <w:cantSplit/>
        </w:trPr>
        <w:tc>
          <w:tcPr>
            <w:tcW w:type="dxa" w:w="65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V03</w:t>
            </w:r>
          </w:p>
        </w:tc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Business Bay Offices</w:t>
            </w:r>
          </w:p>
        </w:tc>
        <w:tc>
          <w:tcPr>
            <w:tcW w:type="dxa" w:w="22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CONDITIONAL GO; NO-GO at ordinary market acquisition pricing</w:t>
            </w:r>
          </w:p>
        </w:tc>
        <w:tc>
          <w:tcPr>
            <w:tcW w:type="dxa" w:w="15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High</w:t>
            </w:r>
          </w:p>
        </w:tc>
        <w:tc>
          <w:tcPr>
            <w:tcW w:type="dxa" w:w="349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Purchase basis, permitted use, suite plan, fit-out BOQ, written suite pricing and occupancy evidence must meet the return hurdle.</w:t>
            </w:r>
          </w:p>
        </w:tc>
      </w:tr>
      <w:tr>
        <w:trPr>
          <w:cantSplit/>
          <w:cantSplit/>
        </w:trPr>
        <w:tc>
          <w:tcPr>
            <w:tcW w:type="dxa" w:w="65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V04</w:t>
            </w:r>
          </w:p>
        </w:tc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KLIGO</w:t>
            </w:r>
          </w:p>
        </w:tc>
        <w:tc>
          <w:tcPr>
            <w:tcW w:type="dxa" w:w="22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CONDITIONAL GO - validation first</w:t>
            </w:r>
          </w:p>
        </w:tc>
        <w:tc>
          <w:tcPr>
            <w:tcW w:type="dxa" w:w="15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High</w:t>
            </w:r>
          </w:p>
        </w:tc>
        <w:tc>
          <w:tcPr>
            <w:tcW w:type="dxa" w:w="349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Provider density, response time, two-quote coverage, conversion and repeat usage must clear the 90-day pilot gates.</w:t>
            </w:r>
          </w:p>
        </w:tc>
      </w:tr>
      <w:tr>
        <w:trPr>
          <w:cantSplit/>
          <w:cantSplit/>
        </w:trPr>
        <w:tc>
          <w:tcPr>
            <w:tcW w:type="dxa" w:w="65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V05</w:t>
            </w:r>
          </w:p>
        </w:tc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22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CONDITIONAL GO - feasibility only</w:t>
            </w:r>
          </w:p>
        </w:tc>
        <w:tc>
          <w:tcPr>
            <w:tcW w:type="dxa" w:w="15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High</w:t>
            </w:r>
          </w:p>
        </w:tc>
        <w:tc>
          <w:tcPr>
            <w:tcW w:type="dxa" w:w="349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No capital approval until plant/fleet quotations, land/utilities, raw materials, customer offtake, working capital and the concrete arithmetic are reconciled.</w:t>
            </w:r>
          </w:p>
        </w:tc>
      </w:tr>
      <w:tr>
        <w:trPr>
          <w:cantSplit/>
          <w:cantSplit/>
        </w:trPr>
        <w:tc>
          <w:tcPr>
            <w:tcW w:type="dxa" w:w="65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V06</w:t>
            </w:r>
          </w:p>
        </w:tc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Worker Accommodation</w:t>
            </w:r>
          </w:p>
        </w:tc>
        <w:tc>
          <w:tcPr>
            <w:tcW w:type="dxa" w:w="22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CONDITIONAL GO - demand first</w:t>
            </w:r>
          </w:p>
        </w:tc>
        <w:tc>
          <w:tcPr>
            <w:tcW w:type="dxa" w:w="15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Medium-High</w:t>
            </w:r>
          </w:p>
        </w:tc>
        <w:tc>
          <w:tcPr>
            <w:tcW w:type="dxa" w:w="349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At least 75% signed take-or-pay commitment before a head lease; employer credit, compliance and customer concentration must pass diligence.</w:t>
            </w:r>
          </w:p>
        </w:tc>
      </w:tr>
      <w:tr>
        <w:trPr>
          <w:cantSplit/>
          <w:cantSplit/>
        </w:trPr>
        <w:tc>
          <w:tcPr>
            <w:tcW w:type="dxa" w:w="65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V07</w:t>
            </w:r>
          </w:p>
        </w:tc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Aluminium + Facades</w:t>
            </w:r>
          </w:p>
        </w:tc>
        <w:tc>
          <w:tcPr>
            <w:tcW w:type="dxa" w:w="22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CONDITIONAL GO - asset-light or JV-led; NO-GO full greenfield at entry</w:t>
            </w:r>
          </w:p>
        </w:tc>
        <w:tc>
          <w:tcPr>
            <w:tcW w:type="dxa" w:w="15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High</w:t>
            </w:r>
          </w:p>
        </w:tc>
        <w:tc>
          <w:tcPr>
            <w:tcW w:type="dxa" w:w="349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Approved systems, warranty chain, qualified AED20m+ pipeline, operator capability and working-capital controls are required before launch.</w:t>
            </w:r>
          </w:p>
        </w:tc>
      </w:tr>
      <w:tr>
        <w:trPr>
          <w:cantSplit/>
          <w:cantSplit/>
        </w:trPr>
        <w:tc>
          <w:tcPr>
            <w:tcW w:type="dxa" w:w="65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V08</w:t>
            </w:r>
          </w:p>
        </w:tc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Industrial Bakery</w:t>
            </w:r>
          </w:p>
        </w:tc>
        <w:tc>
          <w:tcPr>
            <w:tcW w:type="dxa" w:w="22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CONDITIONAL GO</w:t>
            </w:r>
          </w:p>
        </w:tc>
        <w:tc>
          <w:tcPr>
            <w:tcW w:type="dxa" w:w="15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High</w:t>
            </w:r>
          </w:p>
        </w:tc>
        <w:tc>
          <w:tcPr>
            <w:tcW w:type="dxa" w:w="349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Buyer LOIs, equipment/facility quotes, working-capital headroom and a reconciled monthly financial model are required.</w:t>
            </w:r>
          </w:p>
        </w:tc>
      </w:tr>
    </w:tbl>
    <w:p>
      <w:pPr>
        <w:spacing w:after="40"/>
      </w:pPr>
    </w:p>
    <w:p>
      <w:pPr>
        <w:pStyle w:val="Heading1"/>
      </w:pPr>
      <w:r>
        <w:t>How to read the portfolio</w:t>
      </w:r>
    </w:p>
    <w:p>
      <w:pPr>
        <w:pStyle w:val="ListBullet"/>
      </w:pPr>
      <w:r>
        <w:t>Every venture is conditional; no case is approved for unconditional capital deployment.</w:t>
      </w:r>
    </w:p>
    <w:p>
      <w:pPr>
        <w:pStyle w:val="ListBullet"/>
      </w:pPr>
      <w:r>
        <w:t>Real-estate, operating and technology cases must not share one return template.</w:t>
      </w:r>
    </w:p>
    <w:p>
      <w:pPr>
        <w:pStyle w:val="ListBullet"/>
      </w:pPr>
      <w:r>
        <w:t>Modelled figures are decision inputs, not verified outcomes.</w:t>
      </w:r>
    </w:p>
    <w:p>
      <w:pPr>
        <w:pStyle w:val="ListBullet"/>
      </w:pPr>
      <w:r>
        <w:t>The next capital decision should follow the specific gate stated for each venture.</w:t>
      </w:r>
    </w:p>
    <w:p>
      <w:r>
        <w:br w:type="page"/>
      </w:r>
    </w:p>
    <w:p>
      <w:pPr>
        <w:pStyle w:val="Heading1"/>
      </w:pPr>
      <w:r>
        <w:t>Headline economics</w:t>
      </w:r>
    </w:p>
    <w:p>
      <w:pPr>
        <w:pStyle w:val="Heading2"/>
      </w:pPr>
      <w:r>
        <w:t>V01  B2B Warehousing</w:t>
      </w:r>
    </w:p>
    <w:p>
      <w:pPr>
        <w:keepNext w:val="0"/>
        <w:spacing w:after="80"/>
      </w:pPr>
      <w:r>
        <w:rPr>
          <w:rFonts w:ascii="Arial" w:hAnsi="Arial"/>
          <w:b w:val="0"/>
          <w:i w:val="0"/>
          <w:color w:val="555555"/>
          <w:sz w:val="19"/>
        </w:rPr>
        <w:t>Four warehouse formats, each underwritten separately. Medical/pharma capacity is anchor-led and regulated.</w:t>
      </w:r>
    </w:p>
    <w:tbl>
      <w:tblPr>
        <w:tblStyle w:val="TableGrid"/>
        <w:tblW w:type="dxa" w:w="964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410"/>
        <w:gridCol w:w="2410"/>
        <w:gridCol w:w="2410"/>
        <w:gridCol w:w="2410"/>
      </w:tblGrid>
      <w:tr>
        <w:trPr>
          <w:cantSplit/>
        </w:trPr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4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Storage formats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46-73M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Optimal total capital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4.5-7.5M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Stabilised rent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12-15%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Five-year equity IRR</w:t>
            </w:r>
          </w:p>
        </w:tc>
      </w:tr>
    </w:tbl>
    <w:p>
      <w:pPr>
        <w:spacing w:after="60"/>
      </w:pPr>
    </w:p>
    <w:p>
      <w:pPr>
        <w:pStyle w:val="Heading2"/>
      </w:pPr>
      <w:r>
        <w:t>V02  Alfa Home</w:t>
      </w:r>
    </w:p>
    <w:p>
      <w:pPr>
        <w:keepNext w:val="0"/>
        <w:spacing w:after="80"/>
      </w:pPr>
      <w:r>
        <w:rPr>
          <w:rFonts w:ascii="Arial" w:hAnsi="Arial"/>
          <w:b w:val="0"/>
          <w:i w:val="0"/>
          <w:color w:val="555555"/>
          <w:sz w:val="19"/>
        </w:rPr>
        <w:t>Three independent engines under one Alfa Home brand; returns remain property-specific.</w:t>
      </w:r>
    </w:p>
    <w:tbl>
      <w:tblPr>
        <w:tblStyle w:val="TableGrid"/>
        <w:tblW w:type="dxa" w:w="964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410"/>
        <w:gridCol w:w="2410"/>
        <w:gridCol w:w="2410"/>
        <w:gridCol w:w="2410"/>
      </w:tblGrid>
      <w:tr>
        <w:trPr>
          <w:cantSplit/>
        </w:trPr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3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Business engines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20-50M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Preferred acquisition range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12-15 months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Target cycle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435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Dubai transactions above USD10M</w:t>
            </w:r>
          </w:p>
        </w:tc>
      </w:tr>
    </w:tbl>
    <w:p>
      <w:pPr>
        <w:spacing w:after="60"/>
      </w:pPr>
    </w:p>
    <w:p>
      <w:pPr>
        <w:pStyle w:val="Heading2"/>
      </w:pPr>
      <w:r>
        <w:t>V03  Business Bay Offices</w:t>
      </w:r>
    </w:p>
    <w:p>
      <w:pPr>
        <w:keepNext w:val="0"/>
        <w:spacing w:after="80"/>
      </w:pPr>
      <w:r>
        <w:rPr>
          <w:rFonts w:ascii="Arial" w:hAnsi="Arial"/>
          <w:b w:val="0"/>
          <w:i w:val="0"/>
          <w:color w:val="555555"/>
          <w:sz w:val="19"/>
        </w:rPr>
        <w:t>The operating concept works; a normal-priced acquisition does not.</w:t>
      </w:r>
    </w:p>
    <w:tbl>
      <w:tblPr>
        <w:tblStyle w:val="TableGrid"/>
        <w:tblW w:type="dxa" w:w="964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410"/>
        <w:gridCol w:w="2410"/>
        <w:gridCol w:w="2410"/>
        <w:gridCol w:w="2410"/>
      </w:tblGrid>
      <w:tr>
        <w:trPr>
          <w:cantSplit/>
        </w:trPr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0.76-1.07B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Dubai flex/private-office TAM proxy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267-480M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SAM proxy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10000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Floorplate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38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Private suites</w:t>
            </w:r>
          </w:p>
        </w:tc>
      </w:tr>
    </w:tbl>
    <w:p>
      <w:pPr>
        <w:spacing w:after="60"/>
      </w:pPr>
    </w:p>
    <w:p>
      <w:pPr>
        <w:pStyle w:val="Heading2"/>
      </w:pPr>
      <w:r>
        <w:t>V04  KLIGO</w:t>
      </w:r>
    </w:p>
    <w:p>
      <w:pPr>
        <w:keepNext w:val="0"/>
        <w:spacing w:after="80"/>
      </w:pPr>
      <w:r>
        <w:rPr>
          <w:rFonts w:ascii="Arial" w:hAnsi="Arial"/>
          <w:b w:val="0"/>
          <w:i w:val="0"/>
          <w:color w:val="555555"/>
          <w:sz w:val="19"/>
        </w:rPr>
        <w:t>Israel-first B2B construction marketplace; prove liquidity before scale.</w:t>
      </w:r>
    </w:p>
    <w:tbl>
      <w:tblPr>
        <w:tblStyle w:val="TableGrid"/>
        <w:tblW w:type="dxa" w:w="964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410"/>
        <w:gridCol w:w="2410"/>
        <w:gridCol w:w="2410"/>
        <w:gridCol w:w="2410"/>
      </w:tblGrid>
      <w:tr>
        <w:trPr>
          <w:cantSplit/>
        </w:trPr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70436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Active construction businesses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NIS 10.1B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Base TAM GMV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NIS 1.5B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Base SAM GMV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NIS 75-120M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SOM GMV</w:t>
            </w:r>
          </w:p>
        </w:tc>
      </w:tr>
    </w:tbl>
    <w:p>
      <w:pPr>
        <w:spacing w:after="60"/>
      </w:pPr>
    </w:p>
    <w:p>
      <w:pPr>
        <w:pStyle w:val="Heading2"/>
      </w:pPr>
      <w:r>
        <w:t>V05  Asphalt + Concrete</w:t>
      </w:r>
    </w:p>
    <w:p>
      <w:pPr>
        <w:keepNext w:val="0"/>
        <w:spacing w:after="80"/>
      </w:pPr>
      <w:r>
        <w:rPr>
          <w:rFonts w:ascii="Arial" w:hAnsi="Arial"/>
          <w:b w:val="0"/>
          <w:i w:val="0"/>
          <w:color w:val="555555"/>
          <w:sz w:val="19"/>
        </w:rPr>
        <w:t>Two divisions with separate economics; concrete figures remain conflicted.</w:t>
      </w:r>
    </w:p>
    <w:tbl>
      <w:tblPr>
        <w:tblStyle w:val="TableGrid"/>
        <w:tblW w:type="dxa" w:w="964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410"/>
        <w:gridCol w:w="2410"/>
        <w:gridCol w:w="2410"/>
        <w:gridCol w:w="2410"/>
      </w:tblGrid>
      <w:tr>
        <w:trPr>
          <w:cantSplit/>
        </w:trPr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approximately AED 47M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Plant-platform benchmark CAPEX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25000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Working volume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235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Ex-factory selling price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70.5M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Annualised sales</w:t>
            </w:r>
          </w:p>
        </w:tc>
      </w:tr>
    </w:tbl>
    <w:p>
      <w:pPr>
        <w:spacing w:after="60"/>
      </w:pPr>
    </w:p>
    <w:p>
      <w:pPr>
        <w:pStyle w:val="Heading2"/>
      </w:pPr>
      <w:r>
        <w:t>V06  Worker Accommodation</w:t>
      </w:r>
    </w:p>
    <w:p>
      <w:pPr>
        <w:keepNext w:val="0"/>
        <w:spacing w:after="80"/>
      </w:pPr>
      <w:r>
        <w:rPr>
          <w:rFonts w:ascii="Arial" w:hAnsi="Arial"/>
          <w:b w:val="0"/>
          <w:i w:val="0"/>
          <w:color w:val="555555"/>
          <w:sz w:val="19"/>
        </w:rPr>
        <w:t>Contract employer demand before committing to beds or buildings.</w:t>
      </w:r>
    </w:p>
    <w:tbl>
      <w:tblPr>
        <w:tblStyle w:val="TableGrid"/>
        <w:tblW w:type="dxa" w:w="964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410"/>
        <w:gridCol w:w="2410"/>
        <w:gridCol w:w="2410"/>
        <w:gridCol w:w="2410"/>
      </w:tblGrid>
      <w:tr>
        <w:trPr>
          <w:cantSplit/>
        </w:trPr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approximately 1.9M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Registered-beneficiary physical TAM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135898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Sdeira leased beds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98%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Sdeira occupancy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5.76M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Initial capital</w:t>
            </w:r>
          </w:p>
        </w:tc>
      </w:tr>
    </w:tbl>
    <w:p>
      <w:pPr>
        <w:spacing w:after="60"/>
      </w:pPr>
    </w:p>
    <w:p>
      <w:pPr>
        <w:pStyle w:val="Heading2"/>
      </w:pPr>
      <w:r>
        <w:t>V07  Aluminium + Facades</w:t>
      </w:r>
    </w:p>
    <w:p>
      <w:pPr>
        <w:keepNext w:val="0"/>
        <w:spacing w:after="80"/>
      </w:pPr>
      <w:r>
        <w:rPr>
          <w:rFonts w:ascii="Arial" w:hAnsi="Arial"/>
          <w:b w:val="0"/>
          <w:i w:val="0"/>
          <w:color w:val="555555"/>
          <w:sz w:val="19"/>
        </w:rPr>
        <w:t>Start as a qualified facade integrator, not a factory.</w:t>
      </w:r>
    </w:p>
    <w:tbl>
      <w:tblPr>
        <w:tblStyle w:val="TableGrid"/>
        <w:tblW w:type="dxa" w:w="964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410"/>
        <w:gridCol w:w="2410"/>
        <w:gridCol w:w="2410"/>
        <w:gridCol w:w="2410"/>
      </w:tblGrid>
      <w:tr>
        <w:trPr>
          <w:cantSplit/>
        </w:trPr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7.82B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Broad UAE facade TAM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1.63-2.63B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Curtain-wall SAM proxy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40-70M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SOM revenue target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7.0M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Opening investment</w:t>
            </w:r>
          </w:p>
        </w:tc>
      </w:tr>
    </w:tbl>
    <w:p>
      <w:pPr>
        <w:spacing w:after="60"/>
      </w:pPr>
    </w:p>
    <w:p>
      <w:pPr>
        <w:pStyle w:val="Heading2"/>
      </w:pPr>
      <w:r>
        <w:t>V08  Industrial Bakery</w:t>
      </w:r>
    </w:p>
    <w:p>
      <w:pPr>
        <w:keepNext w:val="0"/>
        <w:spacing w:after="80"/>
      </w:pPr>
      <w:r>
        <w:rPr>
          <w:rFonts w:ascii="Arial" w:hAnsi="Arial"/>
          <w:b w:val="0"/>
          <w:i w:val="0"/>
          <w:color w:val="555555"/>
          <w:sz w:val="19"/>
        </w:rPr>
        <w:t>A wholesale production platform; buyer volume and route economics come before equipment.</w:t>
      </w:r>
    </w:p>
    <w:tbl>
      <w:tblPr>
        <w:tblStyle w:val="TableGrid"/>
        <w:tblW w:type="dxa" w:w="964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410"/>
        <w:gridCol w:w="2410"/>
        <w:gridCol w:w="2410"/>
        <w:gridCol w:w="2410"/>
      </w:tblGrid>
      <w:tr>
        <w:trPr>
          <w:cantSplit/>
        </w:trPr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344-447M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Retail-linked SAM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3.5M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Initial deployment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AED 4.0-4.5M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Recommended committed capital</w:t>
            </w:r>
          </w:p>
        </w:tc>
        <w:tc>
          <w:tcPr>
            <w:tcW w:type="dxa" w:w="2410"/>
            <w:shd w:fill="F3F3F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11111"/>
                <w:sz w:val="30"/>
              </w:rPr>
              <w:t>12000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555555"/>
                <w:sz w:val="14"/>
              </w:rPr>
              <w:t>Base facility</w:t>
            </w:r>
          </w:p>
        </w:tc>
      </w:tr>
    </w:tbl>
    <w:p>
      <w:pPr>
        <w:spacing w:after="60"/>
      </w:pPr>
    </w:p>
    <w:p>
      <w:r>
        <w:br w:type="page"/>
      </w:r>
    </w:p>
    <w:p>
      <w:pPr>
        <w:pStyle w:val="Heading1"/>
      </w:pPr>
      <w:r>
        <w:t>Cross-venture capital discipline</w:t>
      </w:r>
    </w:p>
    <w:tbl>
      <w:tblPr>
        <w:tblStyle w:val="TableGrid"/>
        <w:tblW w:type="dxa" w:w="9640"/>
        <w:tblLayout w:type="fixed"/>
        <w:tblLook w:firstColumn="1" w:firstRow="1" w:lastColumn="0" w:lastRow="0" w:noHBand="0" w:noVBand="1" w:val="04A0"/>
        <w:jc w:val="left"/>
        <w:tblInd w:w="0" w:type="dxa"/>
      </w:tblPr>
      <w:tblGrid>
        <w:gridCol w:w="1900"/>
        <w:gridCol w:w="3700"/>
        <w:gridCol w:w="4040"/>
      </w:tblGrid>
      <w:tr>
        <w:trPr>
          <w:cantSplit/>
          <w:tblHeader w:val="true"/>
          <w:cantSplit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VENTURE</w:t>
            </w:r>
          </w:p>
        </w:tc>
        <w:tc>
          <w:tcPr>
            <w:tcW w:type="dxa" w:w="37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CAPITAL POSITION</w:t>
            </w:r>
          </w:p>
        </w:tc>
        <w:tc>
          <w:tcPr>
            <w:tcW w:type="dxa" w:w="404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RETURN POSITION</w:t>
            </w:r>
          </w:p>
        </w:tc>
      </w:tr>
      <w:tr>
        <w:trPr>
          <w:cantSplit/>
          <w:cantSplit/>
        </w:trPr>
        <w:tc>
          <w:tcPr>
            <w:tcW w:type="dxa" w:w="19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3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AED 46-73M industrial-warehouse IC planning range.</w:t>
            </w:r>
          </w:p>
        </w:tc>
        <w:tc>
          <w:tcPr>
            <w:tcW w:type="dxa" w:w="40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12-15% modelled five-year equity IRR for the industrial property case.; 1.8-2.1x modelled five-year equity multiple for the industrial case.</w:t>
            </w:r>
          </w:p>
        </w:tc>
      </w:tr>
      <w:tr>
        <w:trPr>
          <w:cantSplit/>
          <w:cantSplit/>
        </w:trPr>
        <w:tc>
          <w:tcPr>
            <w:tcW w:type="dxa" w:w="19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3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Not established</w:t>
            </w:r>
          </w:p>
        </w:tc>
        <w:tc>
          <w:tcPr>
            <w:tcW w:type="dxa" w:w="40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Not established</w:t>
            </w:r>
          </w:p>
        </w:tc>
      </w:tr>
      <w:tr>
        <w:trPr>
          <w:cantSplit/>
          <w:cantSplit/>
        </w:trPr>
        <w:tc>
          <w:tcPr>
            <w:tcW w:type="dxa" w:w="19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Business Bay Offices</w:t>
            </w:r>
          </w:p>
        </w:tc>
        <w:tc>
          <w:tcPr>
            <w:tcW w:type="dxa" w:w="3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Base 10,000 sq ft model total investment: AED27.37M.; Approximately AED1,510/sq ft maximum purchase basis for a modelled 15% five-year IRR on the 10,000 sq ft case.</w:t>
            </w:r>
          </w:p>
        </w:tc>
        <w:tc>
          <w:tcPr>
            <w:tcW w:type="dxa" w:w="40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Modelled five-year equity IRR: -12.3% downside, 6.7% base and 21.9% upside.; Modelled cash break-even occupancy after debt: approximately 64.5%.</w:t>
            </w:r>
          </w:p>
        </w:tc>
      </w:tr>
      <w:tr>
        <w:trPr>
          <w:cantSplit/>
          <w:cantSplit/>
        </w:trPr>
        <w:tc>
          <w:tcPr>
            <w:tcW w:type="dxa" w:w="19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KLIGO</w:t>
            </w:r>
          </w:p>
        </w:tc>
        <w:tc>
          <w:tcPr>
            <w:tcW w:type="dxa" w:w="3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Not established</w:t>
            </w:r>
          </w:p>
        </w:tc>
        <w:tc>
          <w:tcPr>
            <w:tcW w:type="dxa" w:w="40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Not established</w:t>
            </w:r>
          </w:p>
        </w:tc>
      </w:tr>
      <w:tr>
        <w:trPr>
          <w:cantSplit/>
          <w:cantSplit/>
        </w:trPr>
        <w:tc>
          <w:tcPr>
            <w:tcW w:type="dxa" w:w="19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3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Gray Rock draft concrete investment: AED5.188M.</w:t>
            </w:r>
          </w:p>
        </w:tc>
        <w:tc>
          <w:tcPr>
            <w:tcW w:type="dxa" w:w="40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Do not use as an approved return metric until the margin and all-in capital are reconciled.</w:t>
            </w:r>
          </w:p>
        </w:tc>
      </w:tr>
      <w:tr>
        <w:trPr>
          <w:cantSplit/>
          <w:cantSplit/>
        </w:trPr>
        <w:tc>
          <w:tcPr>
            <w:tcW w:type="dxa" w:w="19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Worker Accommodation</w:t>
            </w:r>
          </w:p>
        </w:tc>
        <w:tc>
          <w:tcPr>
            <w:tcW w:type="dxa" w:w="3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Modelled 1,200-bed master-lease initial capital: AED5.76M.; Modelled all-in capital for the 1,200-bed acquisition case: AED57.65M.</w:t>
            </w:r>
          </w:p>
        </w:tc>
        <w:tc>
          <w:tcPr>
            <w:tcW w:type="dxa" w:w="40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Modelled master-lease operating break-even: approximately 67.3% occupancy.; Master-lease model IRR: -15.8% downside, 26.6% base and 55.4% upside.</w:t>
            </w:r>
          </w:p>
        </w:tc>
      </w:tr>
      <w:tr>
        <w:trPr>
          <w:cantSplit/>
          <w:cantSplit/>
        </w:trPr>
        <w:tc>
          <w:tcPr>
            <w:tcW w:type="dxa" w:w="19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Aluminium + Facades</w:t>
            </w:r>
          </w:p>
        </w:tc>
        <w:tc>
          <w:tcPr>
            <w:tcW w:type="dxa" w:w="3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Base asset-light opening investment: AED7.0M; indicative range AED5.5-10.5M.; A fully integrated greenfield platform is modelled at AED60-100M+ and is no-go as the initial entry.</w:t>
            </w:r>
          </w:p>
        </w:tc>
        <w:tc>
          <w:tcPr>
            <w:tcW w:type="dxa" w:w="40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Asset-light five-year model IRR: -6.5% downside, 40.6% base and 69.0% upside.; Base model equity multiple: 5.08x including terminal value.</w:t>
            </w:r>
          </w:p>
        </w:tc>
      </w:tr>
      <w:tr>
        <w:trPr>
          <w:cantSplit/>
          <w:cantSplit/>
        </w:trPr>
        <w:tc>
          <w:tcPr>
            <w:tcW w:type="dxa" w:w="19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Industrial Bakery</w:t>
            </w:r>
          </w:p>
        </w:tc>
        <w:tc>
          <w:tcPr>
            <w:tcW w:type="dxa" w:w="3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Recommended committed funding envelope: AED4.0-4.5M.</w:t>
            </w:r>
          </w:p>
        </w:tc>
        <w:tc>
          <w:tcPr>
            <w:tcW w:type="dxa" w:w="40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Modelled five-year IRR: approximately -4% downside, 20% base and 34% upside.; The base case does not repay the investment from operating free cash flow alone within five years.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Document-room status</w:t>
      </w:r>
    </w:p>
    <w:tbl>
      <w:tblPr>
        <w:tblStyle w:val="TableGrid"/>
        <w:tblW w:type="dxa" w:w="9640"/>
        <w:tblLayout w:type="fixed"/>
        <w:tblLook w:firstColumn="1" w:firstRow="1" w:lastColumn="0" w:lastRow="0" w:noHBand="0" w:noVBand="1" w:val="04A0"/>
        <w:jc w:val="left"/>
        <w:tblInd w:w="0" w:type="dxa"/>
      </w:tblPr>
      <w:tblGrid>
        <w:gridCol w:w="1800"/>
        <w:gridCol w:w="3600"/>
        <w:gridCol w:w="2100"/>
        <w:gridCol w:w="2140"/>
      </w:tblGrid>
      <w:tr>
        <w:trPr>
          <w:cantSplit/>
          <w:tblHeader w:val="true"/>
          <w:cantSplit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VENTURE</w:t>
            </w:r>
          </w:p>
        </w:tc>
        <w:tc>
          <w:tcPr>
            <w:tcW w:type="dxa" w:w="36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DOCUMENT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STATUS</w:t>
            </w:r>
          </w:p>
        </w:tc>
        <w:tc>
          <w:tcPr>
            <w:tcW w:type="dxa" w:w="214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ACTION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Industrial Warehouses Deep Research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Available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Retain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Cold Storage Deep Research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Available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Retain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Medical and Pharmaceutical Warehousing Deep Research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Research output available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Create formal DOCX/PDF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Multi-format Warehousing Master Report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Pending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Create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Luxury Villa Value-Add Deep Research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Available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Retain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Alfa Home Proposition and Catalogues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Available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Retain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Alfa Home Master Business Plan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Pending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Create from existing sources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Property Register and Rental Baseline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Requires company data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Obtain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Furniture Capacity and Unit-Cost Model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Requires company data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Obtain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Business Bay Offices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Standalone Deep Research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Research output available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Create formal DOCX/PDF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Business Bay Offices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Target Asset Comparison and Suite Model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Requires live assets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Obtain/build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KLIGO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Market and Ideal Customer Research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Available in project context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Formalise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KLIGO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Formal Consolidated Research Report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Pending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Create DOCX/PDF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KLIGO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90-Day Pilot Pack and KPI Tracker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Pending execution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Create template then populate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Asphalt/RAP and Ready-Mix Research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Available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Retain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Combined Platform Report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Pending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Create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Reconciled Concrete Financial Model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Blocked by conflicting inputs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Resolve with operator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Worker Accommodation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Standalone Deep Research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Research output available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Create formal DOCX/PDF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Worker Accommodation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Corporate Demand and Site Pack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Requires LOIs and site evidence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Obtain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Aluminium + Facades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Standalone Deep Research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Research output available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Create formal DOCX/PDF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Aluminium + Facades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Supplier, Certification and Warranty Pack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Requires supplier/operator evidence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Obtain</w:t>
            </w:r>
          </w:p>
        </w:tc>
      </w:tr>
      <w:tr>
        <w:trPr>
          <w:cantSplit/>
          <w:cantSplit/>
        </w:trPr>
        <w:tc>
          <w:tcPr>
            <w:tcW w:type="dxa" w:w="1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Industrial Bakery</w:t>
            </w:r>
          </w:p>
        </w:tc>
        <w:tc>
          <w:tcPr>
            <w:tcW w:type="dxa" w:w="3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Standalone Deep Research</w:t>
            </w:r>
          </w:p>
        </w:tc>
        <w:tc>
          <w:tcPr>
            <w:tcW w:type="dxa" w:w="21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Research output available</w:t>
            </w:r>
          </w:p>
        </w:tc>
        <w:tc>
          <w:tcPr>
            <w:tcW w:type="dxa" w:w="21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Create formal DOCX/PDF</w:t>
            </w:r>
          </w:p>
        </w:tc>
      </w:tr>
      <w:tr>
        <w:trPr>
          <w:cantSplit/>
          <w:cantSplit/>
        </w:trPr>
        <w:tc>
          <w:tcPr>
            <w:tcW w:type="dxa" w:w="1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Industrial Bakery</w:t>
            </w:r>
          </w:p>
        </w:tc>
        <w:tc>
          <w:tcPr>
            <w:tcW w:type="dxa" w:w="3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Buyer Trial, Quotation and Monthly Model Pack</w:t>
            </w:r>
          </w:p>
        </w:tc>
        <w:tc>
          <w:tcPr>
            <w:tcW w:type="dxa" w:w="21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Requires commercial evidence</w:t>
            </w:r>
          </w:p>
        </w:tc>
        <w:tc>
          <w:tcPr>
            <w:tcW w:type="dxa" w:w="21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Obtain/build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Portfolio conflict register</w:t>
      </w:r>
    </w:p>
    <w:tbl>
      <w:tblPr>
        <w:tblStyle w:val="TableGrid"/>
        <w:tblW w:type="dxa" w:w="9640"/>
        <w:tblLayout w:type="fixed"/>
        <w:tblLook w:firstColumn="1" w:firstRow="1" w:lastColumn="0" w:lastRow="0" w:noHBand="0" w:noVBand="1" w:val="04A0"/>
        <w:jc w:val="left"/>
        <w:tblInd w:w="0" w:type="dxa"/>
      </w:tblPr>
      <w:tblGrid>
        <w:gridCol w:w="700"/>
        <w:gridCol w:w="1600"/>
        <w:gridCol w:w="1600"/>
        <w:gridCol w:w="2800"/>
        <w:gridCol w:w="2940"/>
      </w:tblGrid>
      <w:tr>
        <w:trPr>
          <w:cantSplit/>
          <w:tblHeader w:val="true"/>
          <w:cantSplit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ID</w:t>
            </w:r>
          </w:p>
        </w:tc>
        <w:tc>
          <w:tcPr>
            <w:tcW w:type="dxa" w:w="16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VENTURE</w:t>
            </w:r>
          </w:p>
        </w:tc>
        <w:tc>
          <w:tcPr>
            <w:tcW w:type="dxa" w:w="16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TOPIC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CONTROLLING POSITION</w:t>
            </w:r>
          </w:p>
        </w:tc>
        <w:tc>
          <w:tcPr>
            <w:tcW w:type="dxa" w:w="294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RESOLUTION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CF01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Platform economics</w:t>
            </w:r>
          </w:p>
        </w:tc>
        <w:tc>
          <w:tcPr>
            <w:tcW w:type="dxa" w:w="2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Industrial warehouse IC case only</w:t>
            </w:r>
          </w:p>
        </w:tc>
        <w:tc>
          <w:tcPr>
            <w:tcW w:type="dxa" w:w="29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Restrict figures to industrial warehouse; underwrite cold and medical separately.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CF02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Cold-storage NOI</w:t>
            </w:r>
          </w:p>
        </w:tc>
        <w:tc>
          <w:tcPr>
            <w:tcW w:type="dxa" w:w="2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AED6.375M occupied gross rent before OPEX</w:t>
            </w:r>
          </w:p>
        </w:tc>
        <w:tc>
          <w:tcPr>
            <w:tcW w:type="dxa" w:w="29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Do not call the value NOI or use it to calculate return.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CF03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Medical market size</w:t>
            </w:r>
          </w:p>
        </w:tc>
        <w:tc>
          <w:tcPr>
            <w:tcW w:type="dxa" w:w="2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AED6.99B broad 3PL ceiling; dedicated storage TAM/SAM/SOM not verified</w:t>
            </w:r>
          </w:p>
        </w:tc>
        <w:tc>
          <w:tcPr>
            <w:tcW w:type="dxa" w:w="29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Retain broad context with explicit limitation.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CF04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Illustrative ROI</w:t>
            </w:r>
          </w:p>
        </w:tc>
        <w:tc>
          <w:tcPr>
            <w:tcW w:type="dxa" w:w="2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AED2M / AED23M = approximately 8.7%</w:t>
            </w:r>
          </w:p>
        </w:tc>
        <w:tc>
          <w:tcPr>
            <w:tcW w:type="dxa" w:w="29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Do not publish a rounded portfolio return; retain examples only in conflict appendix.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CF05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Illustrative ROI</w:t>
            </w:r>
          </w:p>
        </w:tc>
        <w:tc>
          <w:tcPr>
            <w:tcW w:type="dxa" w:w="2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AED7.5M / AED32.5M = approximately 23.1%</w:t>
            </w:r>
          </w:p>
        </w:tc>
        <w:tc>
          <w:tcPr>
            <w:tcW w:type="dxa" w:w="29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Treat as illustrative property arithmetic, not a portfolio forecast.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CF06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Return terminology</w:t>
            </w:r>
          </w:p>
        </w:tc>
        <w:tc>
          <w:tcPr>
            <w:tcW w:type="dxa" w:w="2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Profit on cost is itself an ROI measure</w:t>
            </w:r>
          </w:p>
        </w:tc>
        <w:tc>
          <w:tcPr>
            <w:tcW w:type="dxa" w:w="29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Define one return convention property-by-property.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CF07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Business Bay Offices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Market sizing</w:t>
            </w:r>
          </w:p>
        </w:tc>
        <w:tc>
          <w:tcPr>
            <w:tcW w:type="dxa" w:w="2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AED0.76-1.07B modelled Dubai flex/private-office TAM proxy</w:t>
            </w:r>
          </w:p>
        </w:tc>
        <w:tc>
          <w:tcPr>
            <w:tcW w:type="dxa" w:w="29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Use the new bottom-up proxy and label it modelled; remove the old headline.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CF08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Business Bay Offices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Research status</w:t>
            </w:r>
          </w:p>
        </w:tc>
        <w:tc>
          <w:tcPr>
            <w:tcW w:type="dxa" w:w="2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Standalone research completed</w:t>
            </w:r>
          </w:p>
        </w:tc>
        <w:tc>
          <w:tcPr>
            <w:tcW w:type="dxa" w:w="29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Update all website and document-map statuses.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CF09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KLIGO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Old revenue model</w:t>
            </w:r>
          </w:p>
        </w:tc>
        <w:tc>
          <w:tcPr>
            <w:tcW w:type="dxa" w:w="2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NIS6.62M base Year3-5 annual revenue model</w:t>
            </w:r>
          </w:p>
        </w:tc>
        <w:tc>
          <w:tcPr>
            <w:tcW w:type="dxa" w:w="29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Old figures remain removed.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CF10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cost stack</w:t>
            </w:r>
          </w:p>
        </w:tc>
        <w:tc>
          <w:tcPr>
            <w:tcW w:type="dxa" w:w="2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Sum equals AED237/t, above AED235/t selling price</w:t>
            </w:r>
          </w:p>
        </w:tc>
        <w:tc>
          <w:tcPr>
            <w:tcW w:type="dxa" w:w="29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Do not publish margin or payback as reconciled; rebuild cost stack.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CF11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Concrete capacity</w:t>
            </w:r>
          </w:p>
        </w:tc>
        <w:tc>
          <w:tcPr>
            <w:tcW w:type="dxa" w:w="2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No controlling figure</w:t>
            </w:r>
          </w:p>
        </w:tc>
        <w:tc>
          <w:tcPr>
            <w:tcW w:type="dxa" w:w="29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Reconcile with operating partner and fleet productivity schedule.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CF12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Concrete selling price</w:t>
            </w:r>
          </w:p>
        </w:tc>
        <w:tc>
          <w:tcPr>
            <w:tcW w:type="dxa" w:w="2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No controlling figure</w:t>
            </w:r>
          </w:p>
        </w:tc>
        <w:tc>
          <w:tcPr>
            <w:tcW w:type="dxa" w:w="29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Obtain current customer quotations and define pumping inclusion.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CF13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Concrete unit profit</w:t>
            </w:r>
          </w:p>
        </w:tc>
        <w:tc>
          <w:tcPr>
            <w:tcW w:type="dxa" w:w="2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No controlling figure</w:t>
            </w:r>
          </w:p>
        </w:tc>
        <w:tc>
          <w:tcPr>
            <w:tcW w:type="dxa" w:w="29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Reconcile price, purchase cost and total delivered cost.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CF14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Concrete staffing</w:t>
            </w:r>
          </w:p>
        </w:tc>
        <w:tc>
          <w:tcPr>
            <w:tcW w:type="dxa" w:w="2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No controlling figure</w:t>
            </w:r>
          </w:p>
        </w:tc>
        <w:tc>
          <w:tcPr>
            <w:tcW w:type="dxa" w:w="29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Rebuild staffing plan by shift and fleet.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CF15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Worker Accommodation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Occupancy benchmark</w:t>
            </w:r>
          </w:p>
        </w:tc>
        <w:tc>
          <w:tcPr>
            <w:tcW w:type="dxa" w:w="2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98% Sdeira occupancy, Q2 2026</w:t>
            </w:r>
          </w:p>
        </w:tc>
        <w:tc>
          <w:tcPr>
            <w:tcW w:type="dxa" w:w="29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Update card, website and deck with date and company-report qualifier.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CF16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Worker Accommodation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Capital and returns</w:t>
            </w:r>
          </w:p>
        </w:tc>
        <w:tc>
          <w:tcPr>
            <w:tcW w:type="dxa" w:w="2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Master lease, acquisition and development have separate capital and IRR scenarios</w:t>
            </w:r>
          </w:p>
        </w:tc>
        <w:tc>
          <w:tcPr>
            <w:tcW w:type="dxa" w:w="29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Replace the generic block with the three model structures.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CF17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Aluminium + Facades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Entry model</w:t>
            </w:r>
          </w:p>
        </w:tc>
        <w:tc>
          <w:tcPr>
            <w:tcW w:type="dxa" w:w="2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AED7M base asset-light opening capital and 40.6% modelled base IRR including terminal value</w:t>
            </w:r>
          </w:p>
        </w:tc>
        <w:tc>
          <w:tcPr>
            <w:tcW w:type="dxa" w:w="29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Rebuild deck around the asset-light integrator; keep terminal-value warning.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CF18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Aluminium + Facades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Greenfield factory</w:t>
            </w:r>
          </w:p>
        </w:tc>
        <w:tc>
          <w:tcPr>
            <w:tcW w:type="dxa" w:w="2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NO-GO as initial entry; AED60-100M+ modelled capital</w:t>
            </w:r>
          </w:p>
        </w:tc>
        <w:tc>
          <w:tcPr>
            <w:tcW w:type="dxa" w:w="29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Show only as a later-stage option after demand proof.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CF19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Industrial Bakery</w:t>
            </w:r>
          </w:p>
        </w:tc>
        <w:tc>
          <w:tcPr>
            <w:tcW w:type="dxa" w:w="16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Funding</w:t>
            </w:r>
          </w:p>
        </w:tc>
        <w:tc>
          <w:tcPr>
            <w:tcW w:type="dxa" w:w="28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AED3.5M initial deployment; AED4.0-4.5M committed capital recommended</w:t>
            </w:r>
          </w:p>
        </w:tc>
        <w:tc>
          <w:tcPr>
            <w:tcW w:type="dxa" w:w="29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Update deck and site with both figures and their distinct meanings.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CF20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Industrial Bakery</w:t>
            </w:r>
          </w:p>
        </w:tc>
        <w:tc>
          <w:tcPr>
            <w:tcW w:type="dxa" w:w="16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Break-even</w:t>
            </w:r>
          </w:p>
        </w:tc>
        <w:tc>
          <w:tcPr>
            <w:tcW w:type="dxa" w:w="28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Plausible only at approximately AED270k+ monthly revenue with controlled contribution</w:t>
            </w:r>
          </w:p>
        </w:tc>
        <w:tc>
          <w:tcPr>
            <w:tcW w:type="dxa" w:w="29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Qualify Month 14 and show the AED3.1-3.5M annual break-even threshold.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Master source register</w:t>
      </w:r>
    </w:p>
    <w:tbl>
      <w:tblPr>
        <w:tblStyle w:val="TableGrid"/>
        <w:tblW w:type="dxa" w:w="9640"/>
        <w:tblLayout w:type="fixed"/>
        <w:tblLook w:firstColumn="1" w:firstRow="1" w:lastColumn="0" w:lastRow="0" w:noHBand="0" w:noVBand="1" w:val="04A0"/>
        <w:jc w:val="left"/>
        <w:tblInd w:w="0" w:type="dxa"/>
      </w:tblPr>
      <w:tblGrid>
        <w:gridCol w:w="700"/>
        <w:gridCol w:w="1700"/>
        <w:gridCol w:w="2700"/>
        <w:gridCol w:w="1000"/>
        <w:gridCol w:w="3540"/>
      </w:tblGrid>
      <w:tr>
        <w:trPr>
          <w:cantSplit/>
          <w:tblHeader w:val="true"/>
          <w:cantSplit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ID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VENTURE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SOURCE</w:t>
            </w:r>
          </w:p>
        </w:tc>
        <w:tc>
          <w:tcPr>
            <w:tcW w:type="dxa" w:w="100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DATE</w:t>
            </w:r>
          </w:p>
        </w:tc>
        <w:tc>
          <w:tcPr>
            <w:tcW w:type="dxa" w:w="3540"/>
            <w:tcMar>
              <w:top w:w="90" w:type="dxa"/>
              <w:start w:w="120" w:type="dxa"/>
              <w:bottom w:w="90" w:type="dxa"/>
              <w:end w:w="120" w:type="dxa"/>
            </w:tcMar>
            <w:shd w:fill="111111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SUPPORTS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S01</w:t>
            </w:r>
          </w:p>
        </w:tc>
        <w:tc>
          <w:tcPr>
            <w:tcW w:type="dxa" w:w="1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2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Industrial Warehouses Deep Research</w:t>
            </w:r>
          </w:p>
        </w:tc>
        <w:tc>
          <w:tcPr>
            <w:tcW w:type="dxa" w:w="10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2026-08-24</w:t>
            </w:r>
          </w:p>
        </w:tc>
        <w:tc>
          <w:tcPr>
            <w:tcW w:type="dxa" w:w="35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Industrial warehouse capital, rent and return screening ranges.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S02</w:t>
            </w:r>
          </w:p>
        </w:tc>
        <w:tc>
          <w:tcPr>
            <w:tcW w:type="dxa" w:w="1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2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Cold Storage Deep Research</w:t>
            </w:r>
          </w:p>
        </w:tc>
        <w:tc>
          <w:tcPr>
            <w:tcW w:type="dxa" w:w="10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2026-08-24</w:t>
            </w:r>
          </w:p>
        </w:tc>
        <w:tc>
          <w:tcPr>
            <w:tcW w:type="dxa" w:w="35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Cold-chain market estimate, format strategy, yield hurdle and data conflicts.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S03</w:t>
            </w:r>
          </w:p>
        </w:tc>
        <w:tc>
          <w:tcPr>
            <w:tcW w:type="dxa" w:w="1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B2B Warehousing</w:t>
            </w:r>
          </w:p>
        </w:tc>
        <w:tc>
          <w:tcPr>
            <w:tcW w:type="dxa" w:w="2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UAE Medical and Pharmaceutical Warehousing Investment Case</w:t>
            </w:r>
          </w:p>
        </w:tc>
        <w:tc>
          <w:tcPr>
            <w:tcW w:type="dxa" w:w="10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2026-08-31</w:t>
            </w:r>
          </w:p>
        </w:tc>
        <w:tc>
          <w:tcPr>
            <w:tcW w:type="dxa" w:w="35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Medical-warehouse regulation, market context, location ranking, operating model and exclusions.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S04</w:t>
            </w:r>
          </w:p>
        </w:tc>
        <w:tc>
          <w:tcPr>
            <w:tcW w:type="dxa" w:w="1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2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Alfa Home Proposition and Catalogues</w:t>
            </w:r>
          </w:p>
        </w:tc>
        <w:tc>
          <w:tcPr>
            <w:tcW w:type="dxa" w:w="10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</w:t>
            </w:r>
          </w:p>
        </w:tc>
        <w:tc>
          <w:tcPr>
            <w:tcW w:type="dxa" w:w="35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Three-engine platform, furniture production and brand proposition.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S05</w:t>
            </w:r>
          </w:p>
        </w:tc>
        <w:tc>
          <w:tcPr>
            <w:tcW w:type="dxa" w:w="1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Alfa Home</w:t>
            </w:r>
          </w:p>
        </w:tc>
        <w:tc>
          <w:tcPr>
            <w:tcW w:type="dxa" w:w="2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Luxury Villa Value-Add Deep Research</w:t>
            </w:r>
          </w:p>
        </w:tc>
        <w:tc>
          <w:tcPr>
            <w:tcW w:type="dxa" w:w="10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2026-08-24</w:t>
            </w:r>
          </w:p>
        </w:tc>
        <w:tc>
          <w:tcPr>
            <w:tcW w:type="dxa" w:w="35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Villa market evidence, acquisition band, cycle and property-specific underwriting issues.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S06</w:t>
            </w:r>
          </w:p>
        </w:tc>
        <w:tc>
          <w:tcPr>
            <w:tcW w:type="dxa" w:w="1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Business Bay Offices</w:t>
            </w:r>
          </w:p>
        </w:tc>
        <w:tc>
          <w:tcPr>
            <w:tcW w:type="dxa" w:w="2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Business Bay Managed Office Investment - Dubai</w:t>
            </w:r>
          </w:p>
        </w:tc>
        <w:tc>
          <w:tcPr>
            <w:tcW w:type="dxa" w:w="10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2026-08-31</w:t>
            </w:r>
          </w:p>
        </w:tc>
        <w:tc>
          <w:tcPr>
            <w:tcW w:type="dxa" w:w="35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Market proxies, suite model, acquisition ceilings, IRR and decision gates.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S07</w:t>
            </w:r>
          </w:p>
        </w:tc>
        <w:tc>
          <w:tcPr>
            <w:tcW w:type="dxa" w:w="1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KLIGO</w:t>
            </w:r>
          </w:p>
        </w:tc>
        <w:tc>
          <w:tcPr>
            <w:tcW w:type="dxa" w:w="2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KLIGO Market and Ideal Customer Analysis</w:t>
            </w:r>
          </w:p>
        </w:tc>
        <w:tc>
          <w:tcPr>
            <w:tcW w:type="dxa" w:w="10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2026-08-31</w:t>
            </w:r>
          </w:p>
        </w:tc>
        <w:tc>
          <w:tcPr>
            <w:tcW w:type="dxa" w:w="35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Israel market model, TAM/SAM/SOM GMV, revenue model and pilot gates.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S08</w:t>
            </w:r>
          </w:p>
        </w:tc>
        <w:tc>
          <w:tcPr>
            <w:tcW w:type="dxa" w:w="1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2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and RAP Deep Research</w:t>
            </w:r>
          </w:p>
        </w:tc>
        <w:tc>
          <w:tcPr>
            <w:tcW w:type="dxa" w:w="10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2026-08-24</w:t>
            </w:r>
          </w:p>
        </w:tc>
        <w:tc>
          <w:tcPr>
            <w:tcW w:type="dxa" w:w="35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platform CAPEX, production model, pricing assumptions, risks and conflicts.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S09</w:t>
            </w:r>
          </w:p>
        </w:tc>
        <w:tc>
          <w:tcPr>
            <w:tcW w:type="dxa" w:w="1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Asphalt + Concrete</w:t>
            </w:r>
          </w:p>
        </w:tc>
        <w:tc>
          <w:tcPr>
            <w:tcW w:type="dxa" w:w="2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Gray Rock Concrete Business Plan</w:t>
            </w:r>
          </w:p>
        </w:tc>
        <w:tc>
          <w:tcPr>
            <w:tcW w:type="dxa" w:w="10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</w:t>
            </w:r>
          </w:p>
        </w:tc>
        <w:tc>
          <w:tcPr>
            <w:tcW w:type="dxa" w:w="35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Draft concrete capital, fleet, pricing, capacity, staffing and conflicting figures.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S10</w:t>
            </w:r>
          </w:p>
        </w:tc>
        <w:tc>
          <w:tcPr>
            <w:tcW w:type="dxa" w:w="1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Worker Accommodation</w:t>
            </w:r>
          </w:p>
        </w:tc>
        <w:tc>
          <w:tcPr>
            <w:tcW w:type="dxa" w:w="2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UAE B2B Worker Accommodation Platform</w:t>
            </w:r>
          </w:p>
        </w:tc>
        <w:tc>
          <w:tcPr>
            <w:tcW w:type="dxa" w:w="10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2026-08-31</w:t>
            </w:r>
          </w:p>
        </w:tc>
        <w:tc>
          <w:tcPr>
            <w:tcW w:type="dxa" w:w="35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Regulation, demand, pricing, master lease/acquisition/development models and sensitivities.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S11</w:t>
            </w:r>
          </w:p>
        </w:tc>
        <w:tc>
          <w:tcPr>
            <w:tcW w:type="dxa" w:w="1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Aluminium + Facades</w:t>
            </w:r>
          </w:p>
        </w:tc>
        <w:tc>
          <w:tcPr>
            <w:tcW w:type="dxa" w:w="2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UAE Aluminium, Glazing and Facade Business</w:t>
            </w:r>
          </w:p>
        </w:tc>
        <w:tc>
          <w:tcPr>
            <w:tcW w:type="dxa" w:w="10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2026-08-31</w:t>
            </w:r>
          </w:p>
        </w:tc>
        <w:tc>
          <w:tcPr>
            <w:tcW w:type="dxa" w:w="35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Market range, entry models, asset-light economics, working capital and no-go greenfield conclusion.</w:t>
            </w:r>
          </w:p>
        </w:tc>
      </w:tr>
      <w:tr>
        <w:trPr>
          <w:cantSplit/>
          <w:cantSplit/>
        </w:trPr>
        <w:tc>
          <w:tcPr>
            <w:tcW w:type="dxa" w:w="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S12</w:t>
            </w:r>
          </w:p>
        </w:tc>
        <w:tc>
          <w:tcPr>
            <w:tcW w:type="dxa" w:w="1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Industrial Bakery</w:t>
            </w:r>
          </w:p>
        </w:tc>
        <w:tc>
          <w:tcPr>
            <w:tcW w:type="dxa" w:w="27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UAE B2B Industrial Bakery Investment Case</w:t>
            </w:r>
          </w:p>
        </w:tc>
        <w:tc>
          <w:tcPr>
            <w:tcW w:type="dxa" w:w="100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2026-08-31</w:t>
            </w:r>
          </w:p>
        </w:tc>
        <w:tc>
          <w:tcPr>
            <w:tcW w:type="dxa" w:w="3540"/>
            <w:shd w:fill="FFFFFF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Market sizing, buyer strategy, capital, break-even, five-year scenarios and operating gates.</w:t>
            </w:r>
          </w:p>
        </w:tc>
      </w:tr>
      <w:tr>
        <w:trPr>
          <w:cantSplit/>
          <w:cantSplit/>
        </w:trPr>
        <w:tc>
          <w:tcPr>
            <w:tcW w:type="dxa" w:w="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11111"/>
                <w:sz w:val="14"/>
              </w:rPr>
              <w:t>S13</w:t>
            </w:r>
          </w:p>
        </w:tc>
        <w:tc>
          <w:tcPr>
            <w:tcW w:type="dxa" w:w="1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Industrial Bakery</w:t>
            </w:r>
          </w:p>
        </w:tc>
        <w:tc>
          <w:tcPr>
            <w:tcW w:type="dxa" w:w="27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Industrial Bakery Proposal and Business Canvas</w:t>
            </w:r>
          </w:p>
        </w:tc>
        <w:tc>
          <w:tcPr>
            <w:tcW w:type="dxa" w:w="100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2026</w:t>
            </w:r>
          </w:p>
        </w:tc>
        <w:tc>
          <w:tcPr>
            <w:tcW w:type="dxa" w:w="3540"/>
            <w:shd w:fill="F3F3F3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11111"/>
                <w:sz w:val="14"/>
              </w:rPr>
              <w:t>Facility, staffing, fleet and Years 1-3 internal revenue plan.</w:t>
            </w:r>
          </w:p>
        </w:tc>
      </w:tr>
    </w:tbl>
    <w:p>
      <w:pPr>
        <w:spacing w:after="40"/>
      </w:pPr>
    </w:p>
    <w:p>
      <w:pPr>
        <w:pStyle w:val="Heading1"/>
      </w:pPr>
      <w:r>
        <w:t>Portfolio next steps</w:t>
      </w:r>
    </w:p>
    <w:p>
      <w:pPr>
        <w:pStyle w:val="ListBullet"/>
      </w:pPr>
      <w:r>
        <w:t>Populate the live quotation, LOI, licence and site evidence required by each gate.</w:t>
      </w:r>
    </w:p>
    <w:p>
      <w:pPr>
        <w:pStyle w:val="ListBullet"/>
      </w:pPr>
      <w:r>
        <w:t>Update the controlling register whenever a conflict is resolved or a source is superseded.</w:t>
      </w:r>
    </w:p>
    <w:p>
      <w:pPr>
        <w:pStyle w:val="ListBullet"/>
      </w:pPr>
      <w:r>
        <w:t>Rebuild only the affected venture model after the underlying commercial evidence changes.</w:t>
      </w:r>
    </w:p>
    <w:p>
      <w:pPr>
        <w:pStyle w:val="ListBullet"/>
      </w:pPr>
      <w:r>
        <w:t>Do not compare headline IRRs until leverage, hold period, terminal assumptions and working capital are normalised.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020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/>
        <w:i w:val="0"/>
        <w:color w:val="888888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4" w:space="4" w:color="D2D2D2"/>
      </w:pBdr>
    </w:pPr>
    <w:r>
      <w:drawing>
        <wp:inline xmlns:a="http://schemas.openxmlformats.org/drawingml/2006/main" xmlns:pic="http://schemas.openxmlformats.org/drawingml/2006/picture">
          <wp:extent cx="621792" cy="149001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erial-alfa-mar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792" cy="149001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b w:val="0"/>
        <w:i w:val="0"/>
        <w:color w:val="888888"/>
        <w:sz w:val="16"/>
      </w:rPr>
      <w:t xml:space="preserve">   NEW VENTURES   /   FULL RESEARCH   /   31 AUGUST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11111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1111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555555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2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1111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Arial" w:hAnsi="Arial"/>
      <w:b w:val="0"/>
      <w:i/>
      <w:iCs/>
      <w:color w:val="55555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59" w:lineRule="auto"/>
      <w:ind w:left="346" w:hanging="230"/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59" w:lineRule="auto"/>
      <w:ind w:left="346" w:hanging="230"/>
      <w:contextualSpacing/>
    </w:pPr>
    <w:rPr>
      <w:rFonts w:ascii="Arial" w:hAnsi="Arial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spacing w:after="140"/>
    </w:pPr>
    <w:rPr>
      <w:rFonts w:ascii="Arial" w:hAnsi="Arial"/>
      <w:b/>
      <w:color w:val="888888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ALFA Eight-Venture Comparative Research</dc:title>
  <dc:subject>Consolidated Deep Research</dc:subject>
  <dc:creator>ALFA New Ventures</dc:creator>
  <cp:keywords>UAE, venture research, decision review, 2026</cp:keywords>
  <dc:description>Built from the controlling data register dated 31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