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widowControl/>
        <w:spacing w:before="1400" w:after="360" w:line="283" w:lineRule="auto"/>
        <w:jc w:val="center"/>
      </w:pPr>
      <w:r>
        <w:rPr>
          <w:rFonts w:ascii="Arial" w:hAnsi="Arial"/>
          <w:b/>
          <w:i w:val="0"/>
          <w:color w:val="2E6284"/>
          <w:sz w:val="20"/>
        </w:rPr>
        <w:t>STARTUP PLANNING GUIDE</w:t>
      </w:r>
    </w:p>
    <w:p>
      <w:pPr>
        <w:keepNext w:val="0"/>
        <w:widowControl/>
        <w:spacing w:before="0" w:after="200" w:line="283" w:lineRule="auto"/>
        <w:jc w:val="center"/>
      </w:pPr>
      <w:r>
        <w:rPr>
          <w:rFonts w:ascii="Arial" w:hAnsi="Arial"/>
          <w:b/>
          <w:i w:val="0"/>
          <w:color w:val="18324A"/>
          <w:sz w:val="58"/>
        </w:rPr>
        <w:t>Construction Marketplace</w:t>
        <w:br/>
        <w:t>for Israel</w:t>
      </w:r>
    </w:p>
    <w:p>
      <w:pPr>
        <w:keepNext w:val="0"/>
        <w:widowControl/>
        <w:spacing w:before="0" w:after="560" w:line="283" w:lineRule="auto"/>
        <w:jc w:val="center"/>
      </w:pPr>
      <w:r>
        <w:rPr>
          <w:rFonts w:ascii="Arial" w:hAnsi="Arial"/>
          <w:b w:val="0"/>
          <w:i w:val="0"/>
          <w:color w:val="667085"/>
          <w:sz w:val="26"/>
        </w:rPr>
        <w:t>A practical foundation for validating, designing, building and launching a subscription-based marketplace for construction equipment, operators, businesses and parts.</w:t>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WORKING CONCEPT</w:t>
            </w:r>
          </w:p>
          <w:p>
            <w:pPr>
              <w:spacing w:before="0" w:after="0" w:line="278" w:lineRule="auto"/>
            </w:pPr>
            <w:r>
              <w:rPr>
                <w:rFonts w:ascii="Arial" w:hAnsi="Arial"/>
                <w:b w:val="0"/>
                <w:i w:val="0"/>
                <w:color w:val="111827"/>
                <w:sz w:val="21"/>
              </w:rPr>
              <w:t>A verified B2B marketplace where registered Israeli businesses list equipment, equipment with operators, skilled services and parts. Customers search by location, price and availability, then connect and contract directly with the provider. The platform charges providers a subscription and does not process rental payments.</w:t>
            </w:r>
          </w:p>
        </w:tc>
      </w:tr>
    </w:tbl>
    <w:p>
      <w:pPr>
        <w:keepNext w:val="0"/>
        <w:widowControl/>
        <w:spacing w:before="0" w:after="40" w:line="283" w:lineRule="auto"/>
        <w:jc w:val="left"/>
      </w:pPr>
      <w:r>
        <w:rPr>
          <w:rFonts w:ascii="Arial" w:hAnsi="Arial"/>
          <w:b w:val="0"/>
          <w:i w:val="0"/>
          <w:color w:val="111827"/>
          <w:sz w:val="4"/>
        </w:rPr>
      </w:r>
    </w:p>
    <w:p>
      <w:pPr>
        <w:keepNext w:val="0"/>
        <w:widowControl/>
        <w:spacing w:before="560" w:after="80" w:line="283" w:lineRule="auto"/>
        <w:jc w:val="center"/>
      </w:pPr>
      <w:r>
        <w:rPr>
          <w:rFonts w:ascii="Arial" w:hAnsi="Arial"/>
          <w:b w:val="0"/>
          <w:i/>
          <w:color w:val="667085"/>
          <w:sz w:val="20"/>
        </w:rPr>
        <w:t>Prepared for the founding partners, product designer and development team</w:t>
      </w:r>
    </w:p>
    <w:p>
      <w:pPr>
        <w:keepNext w:val="0"/>
        <w:widowControl/>
        <w:spacing w:before="0" w:after="0" w:line="283" w:lineRule="auto"/>
        <w:jc w:val="center"/>
      </w:pPr>
      <w:r>
        <w:rPr>
          <w:rFonts w:ascii="Arial" w:hAnsi="Arial"/>
          <w:b/>
          <w:i w:val="0"/>
          <w:color w:val="18324A"/>
          <w:sz w:val="20"/>
        </w:rPr>
        <w:t>Status: Discovery and definition</w:t>
      </w:r>
    </w:p>
    <w:p>
      <w:pPr>
        <w:widowControl/>
      </w:pPr>
      <w:r>
        <w:br w:type="page"/>
      </w:r>
    </w:p>
    <w:p>
      <w:pPr>
        <w:pStyle w:val="Heading1"/>
        <w:keepNext/>
        <w:widowControl/>
      </w:pPr>
      <w:r>
        <w:t>How to use this guide</w:t>
      </w:r>
    </w:p>
    <w:p>
      <w:pPr>
        <w:keepNext w:val="0"/>
        <w:widowControl/>
        <w:spacing w:before="0" w:after="120" w:line="283" w:lineRule="auto"/>
        <w:jc w:val="left"/>
      </w:pPr>
      <w:r>
        <w:rPr>
          <w:rFonts w:ascii="Arial" w:hAnsi="Arial"/>
          <w:b w:val="0"/>
          <w:i w:val="0"/>
          <w:color w:val="111827"/>
          <w:sz w:val="21"/>
        </w:rPr>
        <w:t>This is the project’s first source of truth. It records what is already decided, identifies what still requires evidence or founder approval, and gives the team an ordered path from idea to pilot. It is not the final product requirements document or a substitute for Israeli legal, tax, insurance or employment advice.</w:t>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IMMEDIATE OBJECTIVE</w:t>
            </w:r>
          </w:p>
          <w:p>
            <w:pPr>
              <w:spacing w:before="0" w:after="0" w:line="278" w:lineRule="auto"/>
            </w:pPr>
            <w:r>
              <w:rPr>
                <w:rFonts w:ascii="Arial" w:hAnsi="Arial"/>
                <w:b w:val="0"/>
                <w:i w:val="0"/>
                <w:color w:val="111827"/>
                <w:sz w:val="21"/>
              </w:rPr>
              <w:t>Finish product definition and the complete design package in approximately two weeks without locking the company into untested operational assumptions.</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Decision status</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900"/>
        <w:gridCol w:w="7460"/>
      </w:tblGrid>
      <w:tr>
        <w:trPr>
          <w:tblHeader w:val="true"/>
          <w:cantSplit/>
        </w:trPr>
        <w:tc>
          <w:tcPr>
            <w:tcW w:type="dxa" w:w="1900"/>
            <w:shd w:fill="18324A"/>
            <w:tcMar>
              <w:top w:w="110" w:type="dxa"/>
              <w:start w:w="120" w:type="dxa"/>
              <w:bottom w:w="110" w:type="dxa"/>
              <w:end w:w="120" w:type="dxa"/>
            </w:tcMar>
            <w:vAlign w:val="center"/>
          </w:tcPr>
          <w:p>
            <w:pPr>
              <w:spacing w:after="0"/>
            </w:pPr>
            <w:r>
              <w:rPr>
                <w:rFonts w:ascii="Arial" w:hAnsi="Arial"/>
                <w:b/>
                <w:i w:val="0"/>
                <w:color w:val="FFFFFF"/>
                <w:sz w:val="18"/>
              </w:rPr>
              <w:t>Status</w:t>
            </w:r>
          </w:p>
        </w:tc>
        <w:tc>
          <w:tcPr>
            <w:tcW w:type="dxa" w:w="7460"/>
            <w:shd w:fill="18324A"/>
            <w:tcMar>
              <w:top w:w="110" w:type="dxa"/>
              <w:start w:w="120" w:type="dxa"/>
              <w:bottom w:w="110" w:type="dxa"/>
              <w:end w:w="120" w:type="dxa"/>
            </w:tcMar>
            <w:vAlign w:val="center"/>
          </w:tcPr>
          <w:p>
            <w:pPr>
              <w:spacing w:after="0"/>
            </w:pPr>
            <w:r>
              <w:rPr>
                <w:rFonts w:ascii="Arial" w:hAnsi="Arial"/>
                <w:b/>
                <w:i w:val="0"/>
                <w:color w:val="FFFFFF"/>
                <w:sz w:val="18"/>
              </w:rPr>
              <w:t>Meaning</w:t>
            </w:r>
          </w:p>
        </w:tc>
      </w:tr>
      <w:tr>
        <w:trPr>
          <w:cantSplit/>
        </w:trPr>
        <w:tc>
          <w:tcPr>
            <w:tcW w:type="dxa" w:w="1900"/>
            <w:tcMar>
              <w:top w:w="100" w:type="dxa"/>
              <w:start w:w="120" w:type="dxa"/>
              <w:bottom w:w="100" w:type="dxa"/>
              <w:end w:w="120" w:type="dxa"/>
            </w:tcMar>
            <w:vAlign w:val="center"/>
          </w:tcPr>
          <w:p>
            <w:pPr>
              <w:spacing w:after="0" w:line="264" w:lineRule="auto"/>
            </w:pPr>
            <w:r>
              <w:rPr>
                <w:rFonts w:ascii="Arial" w:hAnsi="Arial"/>
                <w:b w:val="0"/>
                <w:i w:val="0"/>
                <w:color w:val="111827"/>
                <w:sz w:val="18"/>
              </w:rPr>
              <w:t>CONFIRMED</w:t>
            </w:r>
          </w:p>
        </w:tc>
        <w:tc>
          <w:tcPr>
            <w:tcW w:type="dxa" w:w="7460"/>
            <w:tcMar>
              <w:top w:w="100" w:type="dxa"/>
              <w:start w:w="120" w:type="dxa"/>
              <w:bottom w:w="100" w:type="dxa"/>
              <w:end w:w="120" w:type="dxa"/>
            </w:tcMar>
            <w:vAlign w:val="center"/>
          </w:tcPr>
          <w:p>
            <w:pPr>
              <w:spacing w:after="0" w:line="264" w:lineRule="auto"/>
            </w:pPr>
            <w:r>
              <w:rPr>
                <w:rFonts w:ascii="Arial" w:hAnsi="Arial"/>
                <w:b w:val="0"/>
                <w:i w:val="0"/>
                <w:color w:val="111827"/>
                <w:sz w:val="18"/>
              </w:rPr>
              <w:t>The founders have already chosen this direction.</w:t>
            </w:r>
          </w:p>
        </w:tc>
      </w:tr>
      <w:tr>
        <w:trPr>
          <w:cantSplit/>
        </w:trPr>
        <w:tc>
          <w:tcPr>
            <w:tcW w:type="dxa" w:w="19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RECOMMENDED</w:t>
            </w:r>
          </w:p>
        </w:tc>
        <w:tc>
          <w:tcPr>
            <w:tcW w:type="dxa" w:w="74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The working direction used for planning until changed.</w:t>
            </w:r>
          </w:p>
        </w:tc>
      </w:tr>
      <w:tr>
        <w:trPr>
          <w:cantSplit/>
        </w:trPr>
        <w:tc>
          <w:tcPr>
            <w:tcW w:type="dxa" w:w="1900"/>
            <w:tcMar>
              <w:top w:w="100" w:type="dxa"/>
              <w:start w:w="120" w:type="dxa"/>
              <w:bottom w:w="100" w:type="dxa"/>
              <w:end w:w="120" w:type="dxa"/>
            </w:tcMar>
            <w:vAlign w:val="center"/>
          </w:tcPr>
          <w:p>
            <w:pPr>
              <w:spacing w:after="0" w:line="264" w:lineRule="auto"/>
            </w:pPr>
            <w:r>
              <w:rPr>
                <w:rFonts w:ascii="Arial" w:hAnsi="Arial"/>
                <w:b w:val="0"/>
                <w:i w:val="0"/>
                <w:color w:val="111827"/>
                <w:sz w:val="18"/>
              </w:rPr>
              <w:t>VALIDATE</w:t>
            </w:r>
          </w:p>
        </w:tc>
        <w:tc>
          <w:tcPr>
            <w:tcW w:type="dxa" w:w="7460"/>
            <w:tcMar>
              <w:top w:w="100" w:type="dxa"/>
              <w:start w:w="120" w:type="dxa"/>
              <w:bottom w:w="100" w:type="dxa"/>
              <w:end w:w="120" w:type="dxa"/>
            </w:tcMar>
            <w:vAlign w:val="center"/>
          </w:tcPr>
          <w:p>
            <w:pPr>
              <w:spacing w:after="0" w:line="264" w:lineRule="auto"/>
            </w:pPr>
            <w:r>
              <w:rPr>
                <w:rFonts w:ascii="Arial" w:hAnsi="Arial"/>
                <w:b w:val="0"/>
                <w:i w:val="0"/>
                <w:color w:val="111827"/>
                <w:sz w:val="18"/>
              </w:rPr>
              <w:t>Must be tested with providers or customers.</w:t>
            </w:r>
          </w:p>
        </w:tc>
      </w:tr>
      <w:tr>
        <w:trPr>
          <w:cantSplit/>
        </w:trPr>
        <w:tc>
          <w:tcPr>
            <w:tcW w:type="dxa" w:w="19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LEGAL REVIEW</w:t>
            </w:r>
          </w:p>
        </w:tc>
        <w:tc>
          <w:tcPr>
            <w:tcW w:type="dxa" w:w="74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Requires advice from qualified Israeli counsel or another specialist.</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Confirmed foundation</w:t>
      </w:r>
    </w:p>
    <w:p>
      <w:pPr>
        <w:pStyle w:val="ListBullet"/>
        <w:widowControl/>
        <w:spacing w:after="70" w:line="281" w:lineRule="auto"/>
      </w:pPr>
      <w:r>
        <w:rPr>
          <w:rFonts w:ascii="Arial" w:hAnsi="Arial"/>
          <w:b w:val="0"/>
          <w:i w:val="0"/>
          <w:color w:val="111827"/>
          <w:sz w:val="21"/>
        </w:rPr>
        <w:t>Israel-only startup with a partner/founder structure still to be formalized.</w:t>
      </w:r>
    </w:p>
    <w:p>
      <w:pPr>
        <w:pStyle w:val="ListBullet"/>
        <w:widowControl/>
        <w:spacing w:after="70" w:line="281" w:lineRule="auto"/>
      </w:pPr>
      <w:r>
        <w:rPr>
          <w:rFonts w:ascii="Arial" w:hAnsi="Arial"/>
          <w:b w:val="0"/>
          <w:i w:val="0"/>
          <w:color w:val="111827"/>
          <w:sz w:val="21"/>
        </w:rPr>
        <w:t>Only registered businesses may become providers.</w:t>
      </w:r>
    </w:p>
    <w:p>
      <w:pPr>
        <w:pStyle w:val="ListBullet"/>
        <w:widowControl/>
        <w:spacing w:after="70" w:line="281" w:lineRule="auto"/>
      </w:pPr>
      <w:r>
        <w:rPr>
          <w:rFonts w:ascii="Arial" w:hAnsi="Arial"/>
          <w:b w:val="0"/>
          <w:i w:val="0"/>
          <w:color w:val="111827"/>
          <w:sz w:val="21"/>
        </w:rPr>
        <w:t>Broad marketplace: equipment, equipment with operators, skilled services/crews and parts.</w:t>
      </w:r>
    </w:p>
    <w:p>
      <w:pPr>
        <w:pStyle w:val="ListBullet"/>
        <w:widowControl/>
        <w:spacing w:after="70" w:line="281" w:lineRule="auto"/>
      </w:pPr>
      <w:r>
        <w:rPr>
          <w:rFonts w:ascii="Arial" w:hAnsi="Arial"/>
          <w:b w:val="0"/>
          <w:i w:val="0"/>
          <w:color w:val="111827"/>
          <w:sz w:val="21"/>
        </w:rPr>
        <w:t>Fixed prices and visible availability; custom quotation is a separate flow.</w:t>
      </w:r>
    </w:p>
    <w:p>
      <w:pPr>
        <w:pStyle w:val="ListBullet"/>
        <w:widowControl/>
        <w:spacing w:after="70" w:line="281" w:lineRule="auto"/>
      </w:pPr>
      <w:r>
        <w:rPr>
          <w:rFonts w:ascii="Arial" w:hAnsi="Arial"/>
          <w:b w:val="0"/>
          <w:i w:val="0"/>
          <w:color w:val="111827"/>
          <w:sz w:val="21"/>
        </w:rPr>
        <w:t>Provider supplies delivery or collection arrangements.</w:t>
      </w:r>
    </w:p>
    <w:p>
      <w:pPr>
        <w:pStyle w:val="ListBullet"/>
        <w:widowControl/>
        <w:spacing w:after="70" w:line="281" w:lineRule="auto"/>
      </w:pPr>
      <w:r>
        <w:rPr>
          <w:rFonts w:ascii="Arial" w:hAnsi="Arial"/>
          <w:b w:val="0"/>
          <w:i w:val="0"/>
          <w:color w:val="111827"/>
          <w:sz w:val="21"/>
        </w:rPr>
        <w:t>The platform connects parties but does not process rental or service payments.</w:t>
      </w:r>
    </w:p>
    <w:p>
      <w:pPr>
        <w:pStyle w:val="ListBullet"/>
        <w:widowControl/>
        <w:spacing w:after="70" w:line="281" w:lineRule="auto"/>
      </w:pPr>
      <w:r>
        <w:rPr>
          <w:rFonts w:ascii="Arial" w:hAnsi="Arial"/>
          <w:b w:val="0"/>
          <w:i w:val="0"/>
          <w:color w:val="111827"/>
          <w:sz w:val="21"/>
        </w:rPr>
        <w:t>Provider-funded subscription model; customer access is initially free.</w:t>
      </w:r>
    </w:p>
    <w:p>
      <w:pPr>
        <w:pStyle w:val="ListBullet"/>
        <w:widowControl/>
        <w:spacing w:after="70" w:line="281" w:lineRule="auto"/>
      </w:pPr>
      <w:r>
        <w:rPr>
          <w:rFonts w:ascii="Arial" w:hAnsi="Arial"/>
          <w:b w:val="0"/>
          <w:i w:val="0"/>
          <w:color w:val="111827"/>
          <w:sz w:val="21"/>
        </w:rPr>
        <w:t>Commercial risks and responsibilities are agreed directly between the parties and recorded in the request.</w:t>
      </w:r>
    </w:p>
    <w:p>
      <w:pPr>
        <w:pStyle w:val="ListBullet"/>
        <w:widowControl/>
        <w:spacing w:after="70" w:line="281" w:lineRule="auto"/>
      </w:pPr>
      <w:r>
        <w:rPr>
          <w:rFonts w:ascii="Arial" w:hAnsi="Arial"/>
          <w:b w:val="0"/>
          <w:i w:val="0"/>
          <w:color w:val="111827"/>
          <w:sz w:val="21"/>
        </w:rPr>
        <w:t>In-app messaging and profiles are required.</w:t>
      </w:r>
    </w:p>
    <w:p>
      <w:pPr>
        <w:pStyle w:val="Heading2"/>
        <w:keepNext/>
        <w:widowControl/>
      </w:pPr>
      <w:r>
        <w:t>The first five outputs</w:t>
      </w:r>
    </w:p>
    <w:p>
      <w:pPr>
        <w:pStyle w:val="ListNumber"/>
        <w:widowControl/>
        <w:numPr>
          <w:ilvl w:val="0"/>
          <w:numId w:val="10"/>
        </w:numPr>
        <w:spacing w:after="80" w:line="281" w:lineRule="auto"/>
      </w:pPr>
      <w:r>
        <w:rPr>
          <w:rFonts w:ascii="Arial" w:hAnsi="Arial"/>
          <w:b w:val="0"/>
          <w:i w:val="0"/>
          <w:color w:val="111827"/>
          <w:sz w:val="21"/>
        </w:rPr>
        <w:t>Founder decision register and responsibility matrix.</w:t>
      </w:r>
    </w:p>
    <w:p>
      <w:pPr>
        <w:pStyle w:val="ListNumber"/>
        <w:widowControl/>
        <w:numPr>
          <w:ilvl w:val="0"/>
          <w:numId w:val="10"/>
        </w:numPr>
        <w:spacing w:after="80" w:line="281" w:lineRule="auto"/>
      </w:pPr>
      <w:r>
        <w:rPr>
          <w:rFonts w:ascii="Arial" w:hAnsi="Arial"/>
          <w:b w:val="0"/>
          <w:i w:val="0"/>
          <w:color w:val="111827"/>
          <w:sz w:val="21"/>
        </w:rPr>
        <w:t>Customer/provider interview evidence and launch segment decision.</w:t>
      </w:r>
    </w:p>
    <w:p>
      <w:pPr>
        <w:pStyle w:val="ListNumber"/>
        <w:widowControl/>
        <w:numPr>
          <w:ilvl w:val="0"/>
          <w:numId w:val="10"/>
        </w:numPr>
        <w:spacing w:after="80" w:line="281" w:lineRule="auto"/>
      </w:pPr>
      <w:r>
        <w:rPr>
          <w:rFonts w:ascii="Arial" w:hAnsi="Arial"/>
          <w:b w:val="0"/>
          <w:i w:val="0"/>
          <w:color w:val="111827"/>
          <w:sz w:val="21"/>
        </w:rPr>
        <w:t>Marketplace category, listing and filter taxonomy.</w:t>
      </w:r>
    </w:p>
    <w:p>
      <w:pPr>
        <w:pStyle w:val="ListNumber"/>
        <w:widowControl/>
        <w:numPr>
          <w:ilvl w:val="0"/>
          <w:numId w:val="10"/>
        </w:numPr>
        <w:spacing w:after="80" w:line="281" w:lineRule="auto"/>
      </w:pPr>
      <w:r>
        <w:rPr>
          <w:rFonts w:ascii="Arial" w:hAnsi="Arial"/>
          <w:b w:val="0"/>
          <w:i w:val="0"/>
          <w:color w:val="111827"/>
          <w:sz w:val="21"/>
        </w:rPr>
        <w:t>Business rules and trust/safety framework.</w:t>
      </w:r>
    </w:p>
    <w:p>
      <w:pPr>
        <w:pStyle w:val="ListNumber"/>
        <w:widowControl/>
        <w:numPr>
          <w:ilvl w:val="0"/>
          <w:numId w:val="10"/>
        </w:numPr>
        <w:spacing w:after="80" w:line="281" w:lineRule="auto"/>
      </w:pPr>
      <w:r>
        <w:rPr>
          <w:rFonts w:ascii="Arial" w:hAnsi="Arial"/>
          <w:b w:val="0"/>
          <w:i w:val="0"/>
          <w:color w:val="111827"/>
          <w:sz w:val="21"/>
        </w:rPr>
        <w:t>Product requirements, UX flows, UI system and developer handoff.</w:t>
      </w:r>
    </w:p>
    <w:p>
      <w:pPr>
        <w:widowControl/>
      </w:pPr>
      <w:r>
        <w:br w:type="page"/>
      </w:r>
    </w:p>
    <w:p>
      <w:pPr>
        <w:pStyle w:val="Heading1"/>
        <w:keepNext/>
        <w:widowControl/>
      </w:pPr>
      <w:r>
        <w:t>1. Company and founder setup</w:t>
      </w:r>
    </w:p>
    <w:p>
      <w:pPr>
        <w:keepNext w:val="0"/>
        <w:widowControl/>
        <w:spacing w:before="0" w:after="120" w:line="283" w:lineRule="auto"/>
        <w:jc w:val="left"/>
      </w:pPr>
      <w:r>
        <w:rPr>
          <w:rFonts w:ascii="Arial" w:hAnsi="Arial"/>
          <w:b w:val="0"/>
          <w:i w:val="0"/>
          <w:color w:val="111827"/>
          <w:sz w:val="21"/>
        </w:rPr>
        <w:t>The app should not be designed in a governance vacuum. Decide who can approve product scope, spend, contracts and changes before development begins.</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450"/>
        <w:gridCol w:w="5000"/>
        <w:gridCol w:w="2910"/>
      </w:tblGrid>
      <w:tr>
        <w:trPr>
          <w:tblHeader w:val="true"/>
          <w:cantSplit/>
        </w:trPr>
        <w:tc>
          <w:tcPr>
            <w:tcW w:type="dxa" w:w="1450"/>
            <w:shd w:fill="18324A"/>
            <w:tcMar>
              <w:top w:w="110" w:type="dxa"/>
              <w:start w:w="120" w:type="dxa"/>
              <w:bottom w:w="110" w:type="dxa"/>
              <w:end w:w="120" w:type="dxa"/>
            </w:tcMar>
            <w:vAlign w:val="center"/>
          </w:tcPr>
          <w:p>
            <w:pPr>
              <w:spacing w:after="0"/>
            </w:pPr>
            <w:r>
              <w:rPr>
                <w:rFonts w:ascii="Arial" w:hAnsi="Arial"/>
                <w:b/>
                <w:i w:val="0"/>
                <w:color w:val="FFFFFF"/>
                <w:sz w:val="18"/>
              </w:rPr>
              <w:t>Area</w:t>
            </w:r>
          </w:p>
        </w:tc>
        <w:tc>
          <w:tcPr>
            <w:tcW w:type="dxa" w:w="5000"/>
            <w:shd w:fill="18324A"/>
            <w:tcMar>
              <w:top w:w="110" w:type="dxa"/>
              <w:start w:w="120" w:type="dxa"/>
              <w:bottom w:w="110" w:type="dxa"/>
              <w:end w:w="120" w:type="dxa"/>
            </w:tcMar>
            <w:vAlign w:val="center"/>
          </w:tcPr>
          <w:p>
            <w:pPr>
              <w:spacing w:after="0"/>
            </w:pPr>
            <w:r>
              <w:rPr>
                <w:rFonts w:ascii="Arial" w:hAnsi="Arial"/>
                <w:b/>
                <w:i w:val="0"/>
                <w:color w:val="FFFFFF"/>
                <w:sz w:val="18"/>
              </w:rPr>
              <w:t>What must be agreed</w:t>
            </w:r>
          </w:p>
        </w:tc>
        <w:tc>
          <w:tcPr>
            <w:tcW w:type="dxa" w:w="2910"/>
            <w:shd w:fill="18324A"/>
            <w:tcMar>
              <w:top w:w="110" w:type="dxa"/>
              <w:start w:w="120" w:type="dxa"/>
              <w:bottom w:w="110" w:type="dxa"/>
              <w:end w:w="120" w:type="dxa"/>
            </w:tcMar>
            <w:vAlign w:val="center"/>
          </w:tcPr>
          <w:p>
            <w:pPr>
              <w:spacing w:after="0"/>
            </w:pPr>
            <w:r>
              <w:rPr>
                <w:rFonts w:ascii="Arial" w:hAnsi="Arial"/>
                <w:b/>
                <w:i w:val="0"/>
                <w:color w:val="FFFFFF"/>
                <w:sz w:val="18"/>
              </w:rPr>
              <w:t>Output</w:t>
            </w:r>
          </w:p>
        </w:tc>
      </w:tr>
      <w:tr>
        <w:trPr>
          <w:cantSplit/>
        </w:trPr>
        <w:tc>
          <w:tcPr>
            <w:tcW w:type="dxa" w:w="1450"/>
            <w:tcMar>
              <w:top w:w="100" w:type="dxa"/>
              <w:start w:w="120" w:type="dxa"/>
              <w:bottom w:w="100" w:type="dxa"/>
              <w:end w:w="120" w:type="dxa"/>
            </w:tcMar>
            <w:vAlign w:val="center"/>
          </w:tcPr>
          <w:p>
            <w:pPr>
              <w:spacing w:after="0" w:line="264" w:lineRule="auto"/>
            </w:pPr>
            <w:r>
              <w:rPr>
                <w:rFonts w:ascii="Arial" w:hAnsi="Arial"/>
                <w:b w:val="0"/>
                <w:i w:val="0"/>
                <w:color w:val="111827"/>
                <w:sz w:val="18"/>
              </w:rPr>
              <w:t>Ownership</w:t>
            </w:r>
          </w:p>
        </w:tc>
        <w:tc>
          <w:tcPr>
            <w:tcW w:type="dxa" w:w="5000"/>
            <w:tcMar>
              <w:top w:w="100" w:type="dxa"/>
              <w:start w:w="120" w:type="dxa"/>
              <w:bottom w:w="100" w:type="dxa"/>
              <w:end w:w="120" w:type="dxa"/>
            </w:tcMar>
            <w:vAlign w:val="center"/>
          </w:tcPr>
          <w:p>
            <w:pPr>
              <w:spacing w:after="0" w:line="264" w:lineRule="auto"/>
            </w:pPr>
            <w:r>
              <w:rPr>
                <w:rFonts w:ascii="Arial" w:hAnsi="Arial"/>
                <w:b w:val="0"/>
                <w:i w:val="0"/>
                <w:color w:val="111827"/>
                <w:sz w:val="18"/>
              </w:rPr>
              <w:t>Founder names, equity, vesting, dilution rules and intellectual property ownership.</w:t>
            </w:r>
          </w:p>
        </w:tc>
        <w:tc>
          <w:tcPr>
            <w:tcW w:type="dxa" w:w="2910"/>
            <w:tcMar>
              <w:top w:w="100" w:type="dxa"/>
              <w:start w:w="120" w:type="dxa"/>
              <w:bottom w:w="100" w:type="dxa"/>
              <w:end w:w="120" w:type="dxa"/>
            </w:tcMar>
            <w:vAlign w:val="center"/>
          </w:tcPr>
          <w:p>
            <w:pPr>
              <w:spacing w:after="0" w:line="264" w:lineRule="auto"/>
            </w:pPr>
            <w:r>
              <w:rPr>
                <w:rFonts w:ascii="Arial" w:hAnsi="Arial"/>
                <w:b w:val="0"/>
                <w:i w:val="0"/>
                <w:color w:val="111827"/>
                <w:sz w:val="18"/>
              </w:rPr>
              <w:t>Founders’ agreement</w:t>
            </w:r>
          </w:p>
        </w:tc>
      </w:tr>
      <w:tr>
        <w:trPr>
          <w:cantSplit/>
        </w:trPr>
        <w:tc>
          <w:tcPr>
            <w:tcW w:type="dxa" w:w="14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Roles</w:t>
            </w:r>
          </w:p>
        </w:tc>
        <w:tc>
          <w:tcPr>
            <w:tcW w:type="dxa" w:w="50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Commercial lead, product/design lead, technology lead, operations lead and finance/legal owner.</w:t>
            </w:r>
          </w:p>
        </w:tc>
        <w:tc>
          <w:tcPr>
            <w:tcW w:type="dxa" w:w="29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RACI / responsibility matrix</w:t>
            </w:r>
          </w:p>
        </w:tc>
      </w:tr>
      <w:tr>
        <w:trPr>
          <w:cantSplit/>
        </w:trPr>
        <w:tc>
          <w:tcPr>
            <w:tcW w:type="dxa" w:w="1450"/>
            <w:tcMar>
              <w:top w:w="100" w:type="dxa"/>
              <w:start w:w="120" w:type="dxa"/>
              <w:bottom w:w="100" w:type="dxa"/>
              <w:end w:w="120" w:type="dxa"/>
            </w:tcMar>
            <w:vAlign w:val="center"/>
          </w:tcPr>
          <w:p>
            <w:pPr>
              <w:spacing w:after="0" w:line="264" w:lineRule="auto"/>
            </w:pPr>
            <w:r>
              <w:rPr>
                <w:rFonts w:ascii="Arial" w:hAnsi="Arial"/>
                <w:b w:val="0"/>
                <w:i w:val="0"/>
                <w:color w:val="111827"/>
                <w:sz w:val="18"/>
              </w:rPr>
              <w:t>Decisions</w:t>
            </w:r>
          </w:p>
        </w:tc>
        <w:tc>
          <w:tcPr>
            <w:tcW w:type="dxa" w:w="5000"/>
            <w:tcMar>
              <w:top w:w="100" w:type="dxa"/>
              <w:start w:w="120" w:type="dxa"/>
              <w:bottom w:w="100" w:type="dxa"/>
              <w:end w:w="120" w:type="dxa"/>
            </w:tcMar>
            <w:vAlign w:val="center"/>
          </w:tcPr>
          <w:p>
            <w:pPr>
              <w:spacing w:after="0" w:line="264" w:lineRule="auto"/>
            </w:pPr>
            <w:r>
              <w:rPr>
                <w:rFonts w:ascii="Arial" w:hAnsi="Arial"/>
                <w:b w:val="0"/>
                <w:i w:val="0"/>
                <w:color w:val="111827"/>
                <w:sz w:val="18"/>
              </w:rPr>
              <w:t>Which decisions require unanimity, majority approval or one accountable owner.</w:t>
            </w:r>
          </w:p>
        </w:tc>
        <w:tc>
          <w:tcPr>
            <w:tcW w:type="dxa" w:w="2910"/>
            <w:tcMar>
              <w:top w:w="100" w:type="dxa"/>
              <w:start w:w="120" w:type="dxa"/>
              <w:bottom w:w="100" w:type="dxa"/>
              <w:end w:w="120" w:type="dxa"/>
            </w:tcMar>
            <w:vAlign w:val="center"/>
          </w:tcPr>
          <w:p>
            <w:pPr>
              <w:spacing w:after="0" w:line="264" w:lineRule="auto"/>
            </w:pPr>
            <w:r>
              <w:rPr>
                <w:rFonts w:ascii="Arial" w:hAnsi="Arial"/>
                <w:b w:val="0"/>
                <w:i w:val="0"/>
                <w:color w:val="111827"/>
                <w:sz w:val="18"/>
              </w:rPr>
              <w:t>Decision policy</w:t>
            </w:r>
          </w:p>
        </w:tc>
      </w:tr>
      <w:tr>
        <w:trPr>
          <w:cantSplit/>
        </w:trPr>
        <w:tc>
          <w:tcPr>
            <w:tcW w:type="dxa" w:w="14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Company</w:t>
            </w:r>
          </w:p>
        </w:tc>
        <w:tc>
          <w:tcPr>
            <w:tcW w:type="dxa" w:w="50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When and how the Israeli legal entity will be incorporated; registered address and bank account.</w:t>
            </w:r>
          </w:p>
        </w:tc>
        <w:tc>
          <w:tcPr>
            <w:tcW w:type="dxa" w:w="29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Incorporation plan</w:t>
            </w:r>
          </w:p>
        </w:tc>
      </w:tr>
      <w:tr>
        <w:trPr>
          <w:cantSplit/>
        </w:trPr>
        <w:tc>
          <w:tcPr>
            <w:tcW w:type="dxa" w:w="1450"/>
            <w:tcMar>
              <w:top w:w="100" w:type="dxa"/>
              <w:start w:w="120" w:type="dxa"/>
              <w:bottom w:w="100" w:type="dxa"/>
              <w:end w:w="120" w:type="dxa"/>
            </w:tcMar>
            <w:vAlign w:val="center"/>
          </w:tcPr>
          <w:p>
            <w:pPr>
              <w:spacing w:after="0" w:line="264" w:lineRule="auto"/>
            </w:pPr>
            <w:r>
              <w:rPr>
                <w:rFonts w:ascii="Arial" w:hAnsi="Arial"/>
                <w:b w:val="0"/>
                <w:i w:val="0"/>
                <w:color w:val="111827"/>
                <w:sz w:val="18"/>
              </w:rPr>
              <w:t>IP and work</w:t>
            </w:r>
          </w:p>
        </w:tc>
        <w:tc>
          <w:tcPr>
            <w:tcW w:type="dxa" w:w="5000"/>
            <w:tcMar>
              <w:top w:w="100" w:type="dxa"/>
              <w:start w:w="120" w:type="dxa"/>
              <w:bottom w:w="100" w:type="dxa"/>
              <w:end w:w="120" w:type="dxa"/>
            </w:tcMar>
            <w:vAlign w:val="center"/>
          </w:tcPr>
          <w:p>
            <w:pPr>
              <w:spacing w:after="0" w:line="264" w:lineRule="auto"/>
            </w:pPr>
            <w:r>
              <w:rPr>
                <w:rFonts w:ascii="Arial" w:hAnsi="Arial"/>
                <w:b w:val="0"/>
                <w:i w:val="0"/>
                <w:color w:val="111827"/>
                <w:sz w:val="18"/>
              </w:rPr>
              <w:t>All code, designs, research, domains, brand assets and supplier data assigned to the company.</w:t>
            </w:r>
          </w:p>
        </w:tc>
        <w:tc>
          <w:tcPr>
            <w:tcW w:type="dxa" w:w="2910"/>
            <w:tcMar>
              <w:top w:w="100" w:type="dxa"/>
              <w:start w:w="120" w:type="dxa"/>
              <w:bottom w:w="100" w:type="dxa"/>
              <w:end w:w="120" w:type="dxa"/>
            </w:tcMar>
            <w:vAlign w:val="center"/>
          </w:tcPr>
          <w:p>
            <w:pPr>
              <w:spacing w:after="0" w:line="264" w:lineRule="auto"/>
            </w:pPr>
            <w:r>
              <w:rPr>
                <w:rFonts w:ascii="Arial" w:hAnsi="Arial"/>
                <w:b w:val="0"/>
                <w:i w:val="0"/>
                <w:color w:val="111827"/>
                <w:sz w:val="18"/>
              </w:rPr>
              <w:t>IP assignment clauses</w:t>
            </w:r>
          </w:p>
        </w:tc>
      </w:tr>
      <w:tr>
        <w:trPr>
          <w:cantSplit/>
        </w:trPr>
        <w:tc>
          <w:tcPr>
            <w:tcW w:type="dxa" w:w="14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Funding</w:t>
            </w:r>
          </w:p>
        </w:tc>
        <w:tc>
          <w:tcPr>
            <w:tcW w:type="dxa" w:w="50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Initial budget, founder contributions, runway and approval thresholds.</w:t>
            </w:r>
          </w:p>
        </w:tc>
        <w:tc>
          <w:tcPr>
            <w:tcW w:type="dxa" w:w="29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12-month operating budget</w:t>
            </w:r>
          </w:p>
        </w:tc>
      </w:tr>
      <w:tr>
        <w:trPr>
          <w:cantSplit/>
        </w:trPr>
        <w:tc>
          <w:tcPr>
            <w:tcW w:type="dxa" w:w="1450"/>
            <w:tcMar>
              <w:top w:w="100" w:type="dxa"/>
              <w:start w:w="120" w:type="dxa"/>
              <w:bottom w:w="100" w:type="dxa"/>
              <w:end w:w="120" w:type="dxa"/>
            </w:tcMar>
            <w:vAlign w:val="center"/>
          </w:tcPr>
          <w:p>
            <w:pPr>
              <w:spacing w:after="0" w:line="264" w:lineRule="auto"/>
            </w:pPr>
            <w:r>
              <w:rPr>
                <w:rFonts w:ascii="Arial" w:hAnsi="Arial"/>
                <w:b w:val="0"/>
                <w:i w:val="0"/>
                <w:color w:val="111827"/>
                <w:sz w:val="18"/>
              </w:rPr>
              <w:t>Exit/conflict</w:t>
            </w:r>
          </w:p>
        </w:tc>
        <w:tc>
          <w:tcPr>
            <w:tcW w:type="dxa" w:w="5000"/>
            <w:tcMar>
              <w:top w:w="100" w:type="dxa"/>
              <w:start w:w="120" w:type="dxa"/>
              <w:bottom w:w="100" w:type="dxa"/>
              <w:end w:w="120" w:type="dxa"/>
            </w:tcMar>
            <w:vAlign w:val="center"/>
          </w:tcPr>
          <w:p>
            <w:pPr>
              <w:spacing w:after="0" w:line="264" w:lineRule="auto"/>
            </w:pPr>
            <w:r>
              <w:rPr>
                <w:rFonts w:ascii="Arial" w:hAnsi="Arial"/>
                <w:b w:val="0"/>
                <w:i w:val="0"/>
                <w:color w:val="111827"/>
                <w:sz w:val="18"/>
              </w:rPr>
              <w:t>Deadlock, founder departure, confidentiality and non-solicitation provisions.</w:t>
            </w:r>
          </w:p>
        </w:tc>
        <w:tc>
          <w:tcPr>
            <w:tcW w:type="dxa" w:w="2910"/>
            <w:tcMar>
              <w:top w:w="100" w:type="dxa"/>
              <w:start w:w="120" w:type="dxa"/>
              <w:bottom w:w="100" w:type="dxa"/>
              <w:end w:w="120" w:type="dxa"/>
            </w:tcMar>
            <w:vAlign w:val="center"/>
          </w:tcPr>
          <w:p>
            <w:pPr>
              <w:spacing w:after="0" w:line="264" w:lineRule="auto"/>
            </w:pPr>
            <w:r>
              <w:rPr>
                <w:rFonts w:ascii="Arial" w:hAnsi="Arial"/>
                <w:b w:val="0"/>
                <w:i w:val="0"/>
                <w:color w:val="111827"/>
                <w:sz w:val="18"/>
              </w:rPr>
              <w:t>Legal agreement</w:t>
            </w:r>
          </w:p>
        </w:tc>
      </w:tr>
    </w:tbl>
    <w:p>
      <w:pPr>
        <w:keepNext w:val="0"/>
        <w:widowControl/>
        <w:spacing w:before="0" w:after="40" w:line="283" w:lineRule="auto"/>
        <w:jc w:val="left"/>
      </w:pPr>
      <w:r>
        <w:rPr>
          <w:rFonts w:ascii="Arial" w:hAnsi="Arial"/>
          <w:b w:val="0"/>
          <w:i w:val="0"/>
          <w:color w:val="111827"/>
          <w:sz w:val="4"/>
        </w:rPr>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GATE 1</w:t>
            </w:r>
          </w:p>
          <w:p>
            <w:pPr>
              <w:spacing w:before="0" w:after="0" w:line="278" w:lineRule="auto"/>
            </w:pPr>
            <w:r>
              <w:rPr>
                <w:rFonts w:ascii="Arial" w:hAnsi="Arial"/>
                <w:b w:val="0"/>
                <w:i w:val="0"/>
                <w:color w:val="111827"/>
                <w:sz w:val="21"/>
              </w:rPr>
              <w:t>Do not release the brand, collect provider documents or sign commercial agreements until ownership of the company, product and data is clear.</w:t>
            </w:r>
          </w:p>
        </w:tc>
      </w:tr>
    </w:tbl>
    <w:p>
      <w:pPr>
        <w:keepNext w:val="0"/>
        <w:widowControl/>
        <w:spacing w:before="0" w:after="40" w:line="283" w:lineRule="auto"/>
        <w:jc w:val="left"/>
      </w:pPr>
      <w:r>
        <w:rPr>
          <w:rFonts w:ascii="Arial" w:hAnsi="Arial"/>
          <w:b w:val="0"/>
          <w:i w:val="0"/>
          <w:color w:val="111827"/>
          <w:sz w:val="4"/>
        </w:rPr>
      </w:r>
    </w:p>
    <w:p>
      <w:pPr>
        <w:pStyle w:val="Heading1"/>
        <w:keepNext/>
        <w:widowControl/>
      </w:pPr>
      <w:r>
        <w:t>2. Problem, customer and market validation</w:t>
      </w:r>
    </w:p>
    <w:p>
      <w:pPr>
        <w:keepNext w:val="0"/>
        <w:widowControl/>
        <w:spacing w:before="0" w:after="120" w:line="283" w:lineRule="auto"/>
        <w:jc w:val="left"/>
      </w:pPr>
      <w:r>
        <w:rPr>
          <w:rFonts w:ascii="Arial" w:hAnsi="Arial"/>
          <w:b w:val="0"/>
          <w:i w:val="0"/>
          <w:color w:val="111827"/>
          <w:sz w:val="21"/>
        </w:rPr>
        <w:t>The company is not yet choosing one customer segment. That is acceptable for discovery but not for launch messaging, onboarding or acquisition. The team must determine which buyer has the strongest urgent need and highest repeat frequency.</w:t>
      </w:r>
    </w:p>
    <w:p>
      <w:pPr>
        <w:pStyle w:val="Heading2"/>
        <w:keepNext/>
        <w:widowControl/>
      </w:pPr>
      <w:r>
        <w:t>Hypotheses to test</w:t>
      </w:r>
    </w:p>
    <w:p>
      <w:pPr>
        <w:pStyle w:val="ListBullet"/>
        <w:widowControl/>
        <w:spacing w:after="70" w:line="281" w:lineRule="auto"/>
      </w:pPr>
      <w:r>
        <w:rPr>
          <w:rFonts w:ascii="Arial" w:hAnsi="Arial"/>
          <w:b w:val="0"/>
          <w:i w:val="0"/>
          <w:color w:val="111827"/>
          <w:sz w:val="21"/>
        </w:rPr>
        <w:t>Customers struggle to find available equipment or crews quickly enough.</w:t>
      </w:r>
    </w:p>
    <w:p>
      <w:pPr>
        <w:pStyle w:val="ListBullet"/>
        <w:widowControl/>
        <w:spacing w:after="70" w:line="281" w:lineRule="auto"/>
      </w:pPr>
      <w:r>
        <w:rPr>
          <w:rFonts w:ascii="Arial" w:hAnsi="Arial"/>
          <w:b w:val="0"/>
          <w:i w:val="0"/>
          <w:color w:val="111827"/>
          <w:sz w:val="21"/>
        </w:rPr>
        <w:t>Availability and price information is fragmented across calls, WhatsApp groups, directories and personal relationships.</w:t>
      </w:r>
    </w:p>
    <w:p>
      <w:pPr>
        <w:pStyle w:val="ListBullet"/>
        <w:widowControl/>
        <w:spacing w:after="70" w:line="281" w:lineRule="auto"/>
      </w:pPr>
      <w:r>
        <w:rPr>
          <w:rFonts w:ascii="Arial" w:hAnsi="Arial"/>
          <w:b w:val="0"/>
          <w:i w:val="0"/>
          <w:color w:val="111827"/>
          <w:sz w:val="21"/>
        </w:rPr>
        <w:t>Providers have idle capacity and want qualified demand.</w:t>
      </w:r>
    </w:p>
    <w:p>
      <w:pPr>
        <w:pStyle w:val="ListBullet"/>
        <w:widowControl/>
        <w:spacing w:after="70" w:line="281" w:lineRule="auto"/>
      </w:pPr>
      <w:r>
        <w:rPr>
          <w:rFonts w:ascii="Arial" w:hAnsi="Arial"/>
          <w:b w:val="0"/>
          <w:i w:val="0"/>
          <w:color w:val="111827"/>
          <w:sz w:val="21"/>
        </w:rPr>
        <w:t>Providers will keep their calendars and prices current.</w:t>
      </w:r>
    </w:p>
    <w:p>
      <w:pPr>
        <w:pStyle w:val="ListBullet"/>
        <w:widowControl/>
        <w:spacing w:after="70" w:line="281" w:lineRule="auto"/>
      </w:pPr>
      <w:r>
        <w:rPr>
          <w:rFonts w:ascii="Arial" w:hAnsi="Arial"/>
          <w:b w:val="0"/>
          <w:i w:val="0"/>
          <w:color w:val="111827"/>
          <w:sz w:val="21"/>
        </w:rPr>
        <w:t>Providers will pay a recurring subscription before the marketplace produces high lead volume.</w:t>
      </w:r>
    </w:p>
    <w:p>
      <w:pPr>
        <w:pStyle w:val="ListBullet"/>
        <w:widowControl/>
        <w:spacing w:after="70" w:line="281" w:lineRule="auto"/>
      </w:pPr>
      <w:r>
        <w:rPr>
          <w:rFonts w:ascii="Arial" w:hAnsi="Arial"/>
          <w:b w:val="0"/>
          <w:i w:val="0"/>
          <w:color w:val="111827"/>
          <w:sz w:val="21"/>
        </w:rPr>
        <w:t>Customers trust verified listings enough to move the first conversation into the app.</w:t>
      </w:r>
    </w:p>
    <w:p>
      <w:pPr>
        <w:pStyle w:val="Heading2"/>
        <w:keepNext/>
        <w:widowControl/>
      </w:pPr>
      <w:r>
        <w:t>Discovery sample</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400"/>
        <w:gridCol w:w="1100"/>
        <w:gridCol w:w="5860"/>
      </w:tblGrid>
      <w:tr>
        <w:trPr>
          <w:tblHeader w:val="true"/>
          <w:cantSplit/>
        </w:trPr>
        <w:tc>
          <w:tcPr>
            <w:tcW w:type="dxa" w:w="2400"/>
            <w:shd w:fill="18324A"/>
            <w:tcMar>
              <w:top w:w="110" w:type="dxa"/>
              <w:start w:w="120" w:type="dxa"/>
              <w:bottom w:w="110" w:type="dxa"/>
              <w:end w:w="120" w:type="dxa"/>
            </w:tcMar>
            <w:vAlign w:val="center"/>
          </w:tcPr>
          <w:p>
            <w:pPr>
              <w:spacing w:after="0"/>
            </w:pPr>
            <w:r>
              <w:rPr>
                <w:rFonts w:ascii="Arial" w:hAnsi="Arial"/>
                <w:b/>
                <w:i w:val="0"/>
                <w:color w:val="FFFFFF"/>
                <w:sz w:val="18"/>
              </w:rPr>
              <w:t>Interview group</w:t>
            </w:r>
          </w:p>
        </w:tc>
        <w:tc>
          <w:tcPr>
            <w:tcW w:type="dxa" w:w="1100"/>
            <w:shd w:fill="18324A"/>
            <w:tcMar>
              <w:top w:w="110" w:type="dxa"/>
              <w:start w:w="120" w:type="dxa"/>
              <w:bottom w:w="110" w:type="dxa"/>
              <w:end w:w="120" w:type="dxa"/>
            </w:tcMar>
            <w:vAlign w:val="center"/>
          </w:tcPr>
          <w:p>
            <w:pPr>
              <w:spacing w:after="0"/>
            </w:pPr>
            <w:r>
              <w:rPr>
                <w:rFonts w:ascii="Arial" w:hAnsi="Arial"/>
                <w:b/>
                <w:i w:val="0"/>
                <w:color w:val="FFFFFF"/>
                <w:sz w:val="18"/>
              </w:rPr>
              <w:t>Target</w:t>
            </w:r>
          </w:p>
        </w:tc>
        <w:tc>
          <w:tcPr>
            <w:tcW w:type="dxa" w:w="5860"/>
            <w:shd w:fill="18324A"/>
            <w:tcMar>
              <w:top w:w="110" w:type="dxa"/>
              <w:start w:w="120" w:type="dxa"/>
              <w:bottom w:w="110" w:type="dxa"/>
              <w:end w:w="120" w:type="dxa"/>
            </w:tcMar>
            <w:vAlign w:val="center"/>
          </w:tcPr>
          <w:p>
            <w:pPr>
              <w:spacing w:after="0"/>
            </w:pPr>
            <w:r>
              <w:rPr>
                <w:rFonts w:ascii="Arial" w:hAnsi="Arial"/>
                <w:b/>
                <w:i w:val="0"/>
                <w:color w:val="FFFFFF"/>
                <w:sz w:val="18"/>
              </w:rPr>
              <w:t>What to learn</w:t>
            </w:r>
          </w:p>
        </w:tc>
      </w:tr>
      <w:tr>
        <w:trPr>
          <w:cantSplit/>
        </w:trPr>
        <w:tc>
          <w:tcPr>
            <w:tcW w:type="dxa" w:w="2400"/>
            <w:tcMar>
              <w:top w:w="100" w:type="dxa"/>
              <w:start w:w="120" w:type="dxa"/>
              <w:bottom w:w="100" w:type="dxa"/>
              <w:end w:w="120" w:type="dxa"/>
            </w:tcMar>
            <w:vAlign w:val="center"/>
          </w:tcPr>
          <w:p>
            <w:pPr>
              <w:spacing w:after="0" w:line="264" w:lineRule="auto"/>
            </w:pPr>
            <w:r>
              <w:rPr>
                <w:rFonts w:ascii="Arial" w:hAnsi="Arial"/>
                <w:b w:val="0"/>
                <w:i w:val="0"/>
                <w:color w:val="111827"/>
                <w:sz w:val="18"/>
              </w:rPr>
              <w:t>Equipment rental businesses</w:t>
            </w:r>
          </w:p>
        </w:tc>
        <w:tc>
          <w:tcPr>
            <w:tcW w:type="dxa" w:w="1100"/>
            <w:tcMar>
              <w:top w:w="100" w:type="dxa"/>
              <w:start w:w="120" w:type="dxa"/>
              <w:bottom w:w="100" w:type="dxa"/>
              <w:end w:w="120" w:type="dxa"/>
            </w:tcMar>
            <w:vAlign w:val="center"/>
          </w:tcPr>
          <w:p>
            <w:pPr>
              <w:spacing w:after="0" w:line="264" w:lineRule="auto"/>
            </w:pPr>
            <w:r>
              <w:rPr>
                <w:rFonts w:ascii="Arial" w:hAnsi="Arial"/>
                <w:b w:val="0"/>
                <w:i w:val="0"/>
                <w:color w:val="111827"/>
                <w:sz w:val="18"/>
              </w:rPr>
              <w:t>10–15</w:t>
            </w:r>
          </w:p>
        </w:tc>
        <w:tc>
          <w:tcPr>
            <w:tcW w:type="dxa" w:w="5860"/>
            <w:tcMar>
              <w:top w:w="100" w:type="dxa"/>
              <w:start w:w="120" w:type="dxa"/>
              <w:bottom w:w="100" w:type="dxa"/>
              <w:end w:w="120" w:type="dxa"/>
            </w:tcMar>
            <w:vAlign w:val="center"/>
          </w:tcPr>
          <w:p>
            <w:pPr>
              <w:spacing w:after="0" w:line="264" w:lineRule="auto"/>
            </w:pPr>
            <w:r>
              <w:rPr>
                <w:rFonts w:ascii="Arial" w:hAnsi="Arial"/>
                <w:b w:val="0"/>
                <w:i w:val="0"/>
                <w:color w:val="111827"/>
                <w:sz w:val="18"/>
              </w:rPr>
              <w:t>Inventory, idle time, pricing, delivery, documentation, lead sources and subscription willingness.</w:t>
            </w:r>
          </w:p>
        </w:tc>
      </w:tr>
      <w:tr>
        <w:trPr>
          <w:cantSplit/>
        </w:trPr>
        <w:tc>
          <w:tcPr>
            <w:tcW w:type="dxa" w:w="24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Contractors/site managers</w:t>
            </w:r>
          </w:p>
        </w:tc>
        <w:tc>
          <w:tcPr>
            <w:tcW w:type="dxa" w:w="11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10–15</w:t>
            </w:r>
          </w:p>
        </w:tc>
        <w:tc>
          <w:tcPr>
            <w:tcW w:type="dxa" w:w="5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Urgent jobs, search process, decision criteria, failure points and booking frequency.</w:t>
            </w:r>
          </w:p>
        </w:tc>
      </w:tr>
      <w:tr>
        <w:trPr>
          <w:cantSplit/>
        </w:trPr>
        <w:tc>
          <w:tcPr>
            <w:tcW w:type="dxa" w:w="2400"/>
            <w:tcMar>
              <w:top w:w="100" w:type="dxa"/>
              <w:start w:w="120" w:type="dxa"/>
              <w:bottom w:w="100" w:type="dxa"/>
              <w:end w:w="120" w:type="dxa"/>
            </w:tcMar>
            <w:vAlign w:val="center"/>
          </w:tcPr>
          <w:p>
            <w:pPr>
              <w:spacing w:after="0" w:line="264" w:lineRule="auto"/>
            </w:pPr>
            <w:r>
              <w:rPr>
                <w:rFonts w:ascii="Arial" w:hAnsi="Arial"/>
                <w:b w:val="0"/>
                <w:i w:val="0"/>
                <w:color w:val="111827"/>
                <w:sz w:val="18"/>
              </w:rPr>
              <w:t>Specialist service businesses</w:t>
            </w:r>
          </w:p>
        </w:tc>
        <w:tc>
          <w:tcPr>
            <w:tcW w:type="dxa" w:w="1100"/>
            <w:tcMar>
              <w:top w:w="100" w:type="dxa"/>
              <w:start w:w="120" w:type="dxa"/>
              <w:bottom w:w="100" w:type="dxa"/>
              <w:end w:w="120" w:type="dxa"/>
            </w:tcMar>
            <w:vAlign w:val="center"/>
          </w:tcPr>
          <w:p>
            <w:pPr>
              <w:spacing w:after="0" w:line="264" w:lineRule="auto"/>
            </w:pPr>
            <w:r>
              <w:rPr>
                <w:rFonts w:ascii="Arial" w:hAnsi="Arial"/>
                <w:b w:val="0"/>
                <w:i w:val="0"/>
                <w:color w:val="111827"/>
                <w:sz w:val="18"/>
              </w:rPr>
              <w:t>8–10</w:t>
            </w:r>
          </w:p>
        </w:tc>
        <w:tc>
          <w:tcPr>
            <w:tcW w:type="dxa" w:w="5860"/>
            <w:tcMar>
              <w:top w:w="100" w:type="dxa"/>
              <w:start w:w="120" w:type="dxa"/>
              <w:bottom w:w="100" w:type="dxa"/>
              <w:end w:w="120" w:type="dxa"/>
            </w:tcMar>
            <w:vAlign w:val="center"/>
          </w:tcPr>
          <w:p>
            <w:pPr>
              <w:spacing w:after="0" w:line="264" w:lineRule="auto"/>
            </w:pPr>
            <w:r>
              <w:rPr>
                <w:rFonts w:ascii="Arial" w:hAnsi="Arial"/>
                <w:b w:val="0"/>
                <w:i w:val="0"/>
                <w:color w:val="111827"/>
                <w:sz w:val="18"/>
              </w:rPr>
              <w:t>Crew structure, licensing, coverage area, availability and quote logic.</w:t>
            </w:r>
          </w:p>
        </w:tc>
      </w:tr>
      <w:tr>
        <w:trPr>
          <w:cantSplit/>
        </w:trPr>
        <w:tc>
          <w:tcPr>
            <w:tcW w:type="dxa" w:w="24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Parts suppliers</w:t>
            </w:r>
          </w:p>
        </w:tc>
        <w:tc>
          <w:tcPr>
            <w:tcW w:type="dxa" w:w="11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5–8</w:t>
            </w:r>
          </w:p>
        </w:tc>
        <w:tc>
          <w:tcPr>
            <w:tcW w:type="dxa" w:w="5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Catalog complexity, stock accuracy, fulfillment and whether inquiry or checkout is appropriate.</w:t>
            </w:r>
          </w:p>
        </w:tc>
      </w:tr>
      <w:tr>
        <w:trPr>
          <w:cantSplit/>
        </w:trPr>
        <w:tc>
          <w:tcPr>
            <w:tcW w:type="dxa" w:w="2400"/>
            <w:tcMar>
              <w:top w:w="100" w:type="dxa"/>
              <w:start w:w="120" w:type="dxa"/>
              <w:bottom w:w="100" w:type="dxa"/>
              <w:end w:w="120" w:type="dxa"/>
            </w:tcMar>
            <w:vAlign w:val="center"/>
          </w:tcPr>
          <w:p>
            <w:pPr>
              <w:spacing w:after="0" w:line="264" w:lineRule="auto"/>
            </w:pPr>
            <w:r>
              <w:rPr>
                <w:rFonts w:ascii="Arial" w:hAnsi="Arial"/>
                <w:b w:val="0"/>
                <w:i w:val="0"/>
                <w:color w:val="111827"/>
                <w:sz w:val="18"/>
              </w:rPr>
              <w:t>Insurance/legal/accounting specialists</w:t>
            </w:r>
          </w:p>
        </w:tc>
        <w:tc>
          <w:tcPr>
            <w:tcW w:type="dxa" w:w="1100"/>
            <w:tcMar>
              <w:top w:w="100" w:type="dxa"/>
              <w:start w:w="120" w:type="dxa"/>
              <w:bottom w:w="100" w:type="dxa"/>
              <w:end w:w="120" w:type="dxa"/>
            </w:tcMar>
            <w:vAlign w:val="center"/>
          </w:tcPr>
          <w:p>
            <w:pPr>
              <w:spacing w:after="0" w:line="264" w:lineRule="auto"/>
            </w:pPr>
            <w:r>
              <w:rPr>
                <w:rFonts w:ascii="Arial" w:hAnsi="Arial"/>
                <w:b w:val="0"/>
                <w:i w:val="0"/>
                <w:color w:val="111827"/>
                <w:sz w:val="18"/>
              </w:rPr>
              <w:t>3–5</w:t>
            </w:r>
          </w:p>
        </w:tc>
        <w:tc>
          <w:tcPr>
            <w:tcW w:type="dxa" w:w="5860"/>
            <w:tcMar>
              <w:top w:w="100" w:type="dxa"/>
              <w:start w:w="120" w:type="dxa"/>
              <w:bottom w:w="100" w:type="dxa"/>
              <w:end w:w="120" w:type="dxa"/>
            </w:tcMar>
            <w:vAlign w:val="center"/>
          </w:tcPr>
          <w:p>
            <w:pPr>
              <w:spacing w:after="0" w:line="264" w:lineRule="auto"/>
            </w:pPr>
            <w:r>
              <w:rPr>
                <w:rFonts w:ascii="Arial" w:hAnsi="Arial"/>
                <w:b w:val="0"/>
                <w:i w:val="0"/>
                <w:color w:val="111827"/>
                <w:sz w:val="18"/>
              </w:rPr>
              <w:t>Risk allocation, marketplace status, data, invoices, terms and verification limits.</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Validation evidence required before public launch</w:t>
      </w:r>
    </w:p>
    <w:p>
      <w:pPr>
        <w:pStyle w:val="ListBullet"/>
        <w:widowControl/>
        <w:spacing w:after="70" w:line="281" w:lineRule="auto"/>
      </w:pPr>
      <w:r>
        <w:rPr>
          <w:rFonts w:ascii="Arial" w:hAnsi="Arial"/>
          <w:b w:val="0"/>
          <w:i w:val="0"/>
          <w:color w:val="111827"/>
          <w:sz w:val="21"/>
        </w:rPr>
        <w:t>At least 20 providers willing to onboard and upload real listings.</w:t>
      </w:r>
    </w:p>
    <w:p>
      <w:pPr>
        <w:pStyle w:val="ListBullet"/>
        <w:widowControl/>
        <w:spacing w:after="70" w:line="281" w:lineRule="auto"/>
      </w:pPr>
      <w:r>
        <w:rPr>
          <w:rFonts w:ascii="Arial" w:hAnsi="Arial"/>
          <w:b w:val="0"/>
          <w:i w:val="0"/>
          <w:color w:val="111827"/>
          <w:sz w:val="21"/>
        </w:rPr>
        <w:t>At least 100 live listings across the first priority categories.</w:t>
      </w:r>
    </w:p>
    <w:p>
      <w:pPr>
        <w:pStyle w:val="ListBullet"/>
        <w:widowControl/>
        <w:spacing w:after="70" w:line="281" w:lineRule="auto"/>
      </w:pPr>
      <w:r>
        <w:rPr>
          <w:rFonts w:ascii="Arial" w:hAnsi="Arial"/>
          <w:b w:val="0"/>
          <w:i w:val="0"/>
          <w:color w:val="111827"/>
          <w:sz w:val="21"/>
        </w:rPr>
        <w:t>Real pricing and availability data from providers, not estimates from the team.</w:t>
      </w:r>
    </w:p>
    <w:p>
      <w:pPr>
        <w:pStyle w:val="ListBullet"/>
        <w:widowControl/>
        <w:spacing w:after="70" w:line="281" w:lineRule="auto"/>
      </w:pPr>
      <w:r>
        <w:rPr>
          <w:rFonts w:ascii="Arial" w:hAnsi="Arial"/>
          <w:b w:val="0"/>
          <w:i w:val="0"/>
          <w:color w:val="111827"/>
          <w:sz w:val="21"/>
        </w:rPr>
        <w:t>Five or more customers completing a test request through a prototype or concierge process.</w:t>
      </w:r>
    </w:p>
    <w:p>
      <w:pPr>
        <w:pStyle w:val="ListBullet"/>
        <w:widowControl/>
        <w:spacing w:after="70" w:line="281" w:lineRule="auto"/>
      </w:pPr>
      <w:r>
        <w:rPr>
          <w:rFonts w:ascii="Arial" w:hAnsi="Arial"/>
          <w:b w:val="0"/>
          <w:i w:val="0"/>
          <w:color w:val="111827"/>
          <w:sz w:val="21"/>
        </w:rPr>
        <w:t>A tested provider subscription proposition and objections log.</w:t>
      </w:r>
    </w:p>
    <w:p>
      <w:pPr>
        <w:pStyle w:val="ListBullet"/>
        <w:widowControl/>
        <w:spacing w:after="70" w:line="281" w:lineRule="auto"/>
      </w:pPr>
      <w:r>
        <w:rPr>
          <w:rFonts w:ascii="Arial" w:hAnsi="Arial"/>
          <w:b w:val="0"/>
          <w:i w:val="0"/>
          <w:color w:val="111827"/>
          <w:sz w:val="21"/>
        </w:rPr>
        <w:t>A launch region selected using supplier density and buyer demand.</w:t>
      </w:r>
    </w:p>
    <w:p>
      <w:pPr>
        <w:widowControl/>
      </w:pPr>
      <w:r>
        <w:br w:type="page"/>
      </w:r>
    </w:p>
    <w:p>
      <w:pPr>
        <w:pStyle w:val="Heading1"/>
        <w:keepNext/>
        <w:widowControl/>
      </w:pPr>
      <w:r>
        <w:t>3. Marketplace structure and category system</w:t>
      </w:r>
    </w:p>
    <w:p>
      <w:pPr>
        <w:keepNext w:val="0"/>
        <w:widowControl/>
        <w:spacing w:before="0" w:after="120" w:line="283" w:lineRule="auto"/>
        <w:jc w:val="left"/>
      </w:pPr>
      <w:r>
        <w:rPr>
          <w:rFonts w:ascii="Arial" w:hAnsi="Arial"/>
          <w:b w:val="0"/>
          <w:i w:val="0"/>
          <w:color w:val="111827"/>
          <w:sz w:val="21"/>
        </w:rPr>
        <w:t>The marketplace can support broad coverage, but every category needs its own listing fields, filters, pricing units, documents and booking rules. Build one shared architecture with category-specific templates.</w:t>
      </w:r>
    </w:p>
    <w:p>
      <w:pPr>
        <w:pStyle w:val="Heading2"/>
        <w:keepNext/>
        <w:widowControl/>
      </w:pPr>
      <w:r>
        <w:t>Top-level marketplace</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900"/>
        <w:gridCol w:w="4920"/>
        <w:gridCol w:w="2540"/>
      </w:tblGrid>
      <w:tr>
        <w:trPr>
          <w:tblHeader w:val="true"/>
          <w:cantSplit/>
        </w:trPr>
        <w:tc>
          <w:tcPr>
            <w:tcW w:type="dxa" w:w="1900"/>
            <w:shd w:fill="18324A"/>
            <w:tcMar>
              <w:top w:w="110" w:type="dxa"/>
              <w:start w:w="120" w:type="dxa"/>
              <w:bottom w:w="110" w:type="dxa"/>
              <w:end w:w="120" w:type="dxa"/>
            </w:tcMar>
            <w:vAlign w:val="center"/>
          </w:tcPr>
          <w:p>
            <w:pPr>
              <w:spacing w:after="0"/>
            </w:pPr>
            <w:r>
              <w:rPr>
                <w:rFonts w:ascii="Arial" w:hAnsi="Arial"/>
                <w:b/>
                <w:i w:val="0"/>
                <w:color w:val="FFFFFF"/>
                <w:sz w:val="18"/>
              </w:rPr>
              <w:t>Vertical</w:t>
            </w:r>
          </w:p>
        </w:tc>
        <w:tc>
          <w:tcPr>
            <w:tcW w:type="dxa" w:w="4920"/>
            <w:shd w:fill="18324A"/>
            <w:tcMar>
              <w:top w:w="110" w:type="dxa"/>
              <w:start w:w="120" w:type="dxa"/>
              <w:bottom w:w="110" w:type="dxa"/>
              <w:end w:w="120" w:type="dxa"/>
            </w:tcMar>
            <w:vAlign w:val="center"/>
          </w:tcPr>
          <w:p>
            <w:pPr>
              <w:spacing w:after="0"/>
            </w:pPr>
            <w:r>
              <w:rPr>
                <w:rFonts w:ascii="Arial" w:hAnsi="Arial"/>
                <w:b/>
                <w:i w:val="0"/>
                <w:color w:val="FFFFFF"/>
                <w:sz w:val="18"/>
              </w:rPr>
              <w:t>Examples</w:t>
            </w:r>
          </w:p>
        </w:tc>
        <w:tc>
          <w:tcPr>
            <w:tcW w:type="dxa" w:w="2540"/>
            <w:shd w:fill="18324A"/>
            <w:tcMar>
              <w:top w:w="110" w:type="dxa"/>
              <w:start w:w="120" w:type="dxa"/>
              <w:bottom w:w="110" w:type="dxa"/>
              <w:end w:w="120" w:type="dxa"/>
            </w:tcMar>
            <w:vAlign w:val="center"/>
          </w:tcPr>
          <w:p>
            <w:pPr>
              <w:spacing w:after="0"/>
            </w:pPr>
            <w:r>
              <w:rPr>
                <w:rFonts w:ascii="Arial" w:hAnsi="Arial"/>
                <w:b/>
                <w:i w:val="0"/>
                <w:color w:val="FFFFFF"/>
                <w:sz w:val="18"/>
              </w:rPr>
              <w:t>Commercial action</w:t>
            </w:r>
          </w:p>
        </w:tc>
      </w:tr>
      <w:tr>
        <w:trPr>
          <w:cantSplit/>
        </w:trPr>
        <w:tc>
          <w:tcPr>
            <w:tcW w:type="dxa" w:w="1900"/>
            <w:tcMar>
              <w:top w:w="100" w:type="dxa"/>
              <w:start w:w="120" w:type="dxa"/>
              <w:bottom w:w="100" w:type="dxa"/>
              <w:end w:w="120" w:type="dxa"/>
            </w:tcMar>
            <w:vAlign w:val="center"/>
          </w:tcPr>
          <w:p>
            <w:pPr>
              <w:spacing w:after="0" w:line="264" w:lineRule="auto"/>
            </w:pPr>
            <w:r>
              <w:rPr>
                <w:rFonts w:ascii="Arial" w:hAnsi="Arial"/>
                <w:b w:val="0"/>
                <w:i w:val="0"/>
                <w:color w:val="111827"/>
                <w:sz w:val="18"/>
              </w:rPr>
              <w:t>Heavy equipment</w:t>
            </w:r>
          </w:p>
        </w:tc>
        <w:tc>
          <w:tcPr>
            <w:tcW w:type="dxa" w:w="4920"/>
            <w:tcMar>
              <w:top w:w="100" w:type="dxa"/>
              <w:start w:w="120" w:type="dxa"/>
              <w:bottom w:w="100" w:type="dxa"/>
              <w:end w:w="120" w:type="dxa"/>
            </w:tcMar>
            <w:vAlign w:val="center"/>
          </w:tcPr>
          <w:p>
            <w:pPr>
              <w:spacing w:after="0" w:line="264" w:lineRule="auto"/>
            </w:pPr>
            <w:r>
              <w:rPr>
                <w:rFonts w:ascii="Arial" w:hAnsi="Arial"/>
                <w:b w:val="0"/>
                <w:i w:val="0"/>
                <w:color w:val="111827"/>
                <w:sz w:val="18"/>
              </w:rPr>
              <w:t>Excavators, loaders, bulldozers, cranes, lifts, compactors, forklifts.</w:t>
            </w:r>
          </w:p>
        </w:tc>
        <w:tc>
          <w:tcPr>
            <w:tcW w:type="dxa" w:w="2540"/>
            <w:tcMar>
              <w:top w:w="100" w:type="dxa"/>
              <w:start w:w="120" w:type="dxa"/>
              <w:bottom w:w="100" w:type="dxa"/>
              <w:end w:w="120" w:type="dxa"/>
            </w:tcMar>
            <w:vAlign w:val="center"/>
          </w:tcPr>
          <w:p>
            <w:pPr>
              <w:spacing w:after="0" w:line="264" w:lineRule="auto"/>
            </w:pPr>
            <w:r>
              <w:rPr>
                <w:rFonts w:ascii="Arial" w:hAnsi="Arial"/>
                <w:b w:val="0"/>
                <w:i w:val="0"/>
                <w:color w:val="111827"/>
                <w:sz w:val="18"/>
              </w:rPr>
              <w:t>Rent equipment / add operator</w:t>
            </w:r>
          </w:p>
        </w:tc>
      </w:tr>
      <w:tr>
        <w:trPr>
          <w:cantSplit/>
        </w:trPr>
        <w:tc>
          <w:tcPr>
            <w:tcW w:type="dxa" w:w="19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Tools and site equipment</w:t>
            </w:r>
          </w:p>
        </w:tc>
        <w:tc>
          <w:tcPr>
            <w:tcW w:type="dxa" w:w="49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Generators, compressors, pumps, scaffolding, welding, surveying and safety equipment.</w:t>
            </w:r>
          </w:p>
        </w:tc>
        <w:tc>
          <w:tcPr>
            <w:tcW w:type="dxa" w:w="254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Rent</w:t>
            </w:r>
          </w:p>
        </w:tc>
      </w:tr>
      <w:tr>
        <w:trPr>
          <w:cantSplit/>
        </w:trPr>
        <w:tc>
          <w:tcPr>
            <w:tcW w:type="dxa" w:w="1900"/>
            <w:tcMar>
              <w:top w:w="100" w:type="dxa"/>
              <w:start w:w="120" w:type="dxa"/>
              <w:bottom w:w="100" w:type="dxa"/>
              <w:end w:w="120" w:type="dxa"/>
            </w:tcMar>
            <w:vAlign w:val="center"/>
          </w:tcPr>
          <w:p>
            <w:pPr>
              <w:spacing w:after="0" w:line="264" w:lineRule="auto"/>
            </w:pPr>
            <w:r>
              <w:rPr>
                <w:rFonts w:ascii="Arial" w:hAnsi="Arial"/>
                <w:b w:val="0"/>
                <w:i w:val="0"/>
                <w:color w:val="111827"/>
                <w:sz w:val="18"/>
              </w:rPr>
              <w:t>Vehicles and transport</w:t>
            </w:r>
          </w:p>
        </w:tc>
        <w:tc>
          <w:tcPr>
            <w:tcW w:type="dxa" w:w="4920"/>
            <w:tcMar>
              <w:top w:w="100" w:type="dxa"/>
              <w:start w:w="120" w:type="dxa"/>
              <w:bottom w:w="100" w:type="dxa"/>
              <w:end w:w="120" w:type="dxa"/>
            </w:tcMar>
            <w:vAlign w:val="center"/>
          </w:tcPr>
          <w:p>
            <w:pPr>
              <w:spacing w:after="0" w:line="264" w:lineRule="auto"/>
            </w:pPr>
            <w:r>
              <w:rPr>
                <w:rFonts w:ascii="Arial" w:hAnsi="Arial"/>
                <w:b w:val="0"/>
                <w:i w:val="0"/>
                <w:color w:val="111827"/>
                <w:sz w:val="18"/>
              </w:rPr>
              <w:t>Dump trucks, concrete trucks, low loaders and site transport.</w:t>
            </w:r>
          </w:p>
        </w:tc>
        <w:tc>
          <w:tcPr>
            <w:tcW w:type="dxa" w:w="2540"/>
            <w:tcMar>
              <w:top w:w="100" w:type="dxa"/>
              <w:start w:w="120" w:type="dxa"/>
              <w:bottom w:w="100" w:type="dxa"/>
              <w:end w:w="120" w:type="dxa"/>
            </w:tcMar>
            <w:vAlign w:val="center"/>
          </w:tcPr>
          <w:p>
            <w:pPr>
              <w:spacing w:after="0" w:line="264" w:lineRule="auto"/>
            </w:pPr>
            <w:r>
              <w:rPr>
                <w:rFonts w:ascii="Arial" w:hAnsi="Arial"/>
                <w:b w:val="0"/>
                <w:i w:val="0"/>
                <w:color w:val="111827"/>
                <w:sz w:val="18"/>
              </w:rPr>
              <w:t>Book / request quote</w:t>
            </w:r>
          </w:p>
        </w:tc>
      </w:tr>
      <w:tr>
        <w:trPr>
          <w:cantSplit/>
        </w:trPr>
        <w:tc>
          <w:tcPr>
            <w:tcW w:type="dxa" w:w="19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Operators and crews</w:t>
            </w:r>
          </w:p>
        </w:tc>
        <w:tc>
          <w:tcPr>
            <w:tcW w:type="dxa" w:w="49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Equipment operators, electricians, plumbers, welders, formwork, demolition and finishing crews.</w:t>
            </w:r>
          </w:p>
        </w:tc>
        <w:tc>
          <w:tcPr>
            <w:tcW w:type="dxa" w:w="254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Book service / request quote</w:t>
            </w:r>
          </w:p>
        </w:tc>
      </w:tr>
      <w:tr>
        <w:trPr>
          <w:cantSplit/>
        </w:trPr>
        <w:tc>
          <w:tcPr>
            <w:tcW w:type="dxa" w:w="1900"/>
            <w:tcMar>
              <w:top w:w="100" w:type="dxa"/>
              <w:start w:w="120" w:type="dxa"/>
              <w:bottom w:w="100" w:type="dxa"/>
              <w:end w:w="120" w:type="dxa"/>
            </w:tcMar>
            <w:vAlign w:val="center"/>
          </w:tcPr>
          <w:p>
            <w:pPr>
              <w:spacing w:after="0" w:line="264" w:lineRule="auto"/>
            </w:pPr>
            <w:r>
              <w:rPr>
                <w:rFonts w:ascii="Arial" w:hAnsi="Arial"/>
                <w:b w:val="0"/>
                <w:i w:val="0"/>
                <w:color w:val="111827"/>
                <w:sz w:val="18"/>
              </w:rPr>
              <w:t>Construction services</w:t>
            </w:r>
          </w:p>
        </w:tc>
        <w:tc>
          <w:tcPr>
            <w:tcW w:type="dxa" w:w="4920"/>
            <w:tcMar>
              <w:top w:w="100" w:type="dxa"/>
              <w:start w:w="120" w:type="dxa"/>
              <w:bottom w:w="100" w:type="dxa"/>
              <w:end w:w="120" w:type="dxa"/>
            </w:tcMar>
            <w:vAlign w:val="center"/>
          </w:tcPr>
          <w:p>
            <w:pPr>
              <w:spacing w:after="0" w:line="264" w:lineRule="auto"/>
            </w:pPr>
            <w:r>
              <w:rPr>
                <w:rFonts w:ascii="Arial" w:hAnsi="Arial"/>
                <w:b w:val="0"/>
                <w:i w:val="0"/>
                <w:color w:val="111827"/>
                <w:sz w:val="18"/>
              </w:rPr>
              <w:t>Surveying, waste removal, concrete pumping, testing, maintenance and specialist subcontracting.</w:t>
            </w:r>
          </w:p>
        </w:tc>
        <w:tc>
          <w:tcPr>
            <w:tcW w:type="dxa" w:w="2540"/>
            <w:tcMar>
              <w:top w:w="100" w:type="dxa"/>
              <w:start w:w="120" w:type="dxa"/>
              <w:bottom w:w="100" w:type="dxa"/>
              <w:end w:w="120" w:type="dxa"/>
            </w:tcMar>
            <w:vAlign w:val="center"/>
          </w:tcPr>
          <w:p>
            <w:pPr>
              <w:spacing w:after="0" w:line="264" w:lineRule="auto"/>
            </w:pPr>
            <w:r>
              <w:rPr>
                <w:rFonts w:ascii="Arial" w:hAnsi="Arial"/>
                <w:b w:val="0"/>
                <w:i w:val="0"/>
                <w:color w:val="111827"/>
                <w:sz w:val="18"/>
              </w:rPr>
              <w:t>Book / request quote</w:t>
            </w:r>
          </w:p>
        </w:tc>
      </w:tr>
      <w:tr>
        <w:trPr>
          <w:cantSplit/>
        </w:trPr>
        <w:tc>
          <w:tcPr>
            <w:tcW w:type="dxa" w:w="19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Parts and consumables</w:t>
            </w:r>
          </w:p>
        </w:tc>
        <w:tc>
          <w:tcPr>
            <w:tcW w:type="dxa" w:w="49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Machine parts, attachments, batteries, filters, hoses and selected site supplies.</w:t>
            </w:r>
          </w:p>
        </w:tc>
        <w:tc>
          <w:tcPr>
            <w:tcW w:type="dxa" w:w="254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Contact seller / request quote first</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Mandatory listing fields</w:t>
      </w:r>
    </w:p>
    <w:p>
      <w:pPr>
        <w:pStyle w:val="ListBullet"/>
        <w:widowControl/>
        <w:spacing w:after="70" w:line="281" w:lineRule="auto"/>
      </w:pPr>
      <w:r>
        <w:rPr>
          <w:rFonts w:ascii="Arial" w:hAnsi="Arial"/>
          <w:b w:val="0"/>
          <w:i w:val="0"/>
          <w:color w:val="111827"/>
          <w:sz w:val="21"/>
        </w:rPr>
        <w:t>Provider business, business number, contact owner and service area.</w:t>
      </w:r>
    </w:p>
    <w:p>
      <w:pPr>
        <w:pStyle w:val="ListBullet"/>
        <w:widowControl/>
        <w:spacing w:after="70" w:line="281" w:lineRule="auto"/>
      </w:pPr>
      <w:r>
        <w:rPr>
          <w:rFonts w:ascii="Arial" w:hAnsi="Arial"/>
          <w:b w:val="0"/>
          <w:i w:val="0"/>
          <w:color w:val="111827"/>
          <w:sz w:val="21"/>
        </w:rPr>
        <w:t>Category, subcategory, brand, model, year, condition, capacity and attachments.</w:t>
      </w:r>
    </w:p>
    <w:p>
      <w:pPr>
        <w:pStyle w:val="ListBullet"/>
        <w:widowControl/>
        <w:spacing w:after="70" w:line="281" w:lineRule="auto"/>
      </w:pPr>
      <w:r>
        <w:rPr>
          <w:rFonts w:ascii="Arial" w:hAnsi="Arial"/>
          <w:b w:val="0"/>
          <w:i w:val="0"/>
          <w:color w:val="111827"/>
          <w:sz w:val="21"/>
        </w:rPr>
        <w:t>Clear photos/video and a unique asset or listing identifier.</w:t>
      </w:r>
    </w:p>
    <w:p>
      <w:pPr>
        <w:pStyle w:val="ListBullet"/>
        <w:widowControl/>
        <w:spacing w:after="70" w:line="281" w:lineRule="auto"/>
      </w:pPr>
      <w:r>
        <w:rPr>
          <w:rFonts w:ascii="Arial" w:hAnsi="Arial"/>
          <w:b w:val="0"/>
          <w:i w:val="0"/>
          <w:color w:val="111827"/>
          <w:sz w:val="21"/>
        </w:rPr>
        <w:t>Fixed daily, weekly and monthly rates; overtime, minimum term and VAT display rule.</w:t>
      </w:r>
    </w:p>
    <w:p>
      <w:pPr>
        <w:pStyle w:val="ListBullet"/>
        <w:widowControl/>
        <w:spacing w:after="70" w:line="281" w:lineRule="auto"/>
      </w:pPr>
      <w:r>
        <w:rPr>
          <w:rFonts w:ascii="Arial" w:hAnsi="Arial"/>
          <w:b w:val="0"/>
          <w:i w:val="0"/>
          <w:color w:val="111827"/>
          <w:sz w:val="21"/>
        </w:rPr>
        <w:t>Availability calendar, notice period and blackout dates.</w:t>
      </w:r>
    </w:p>
    <w:p>
      <w:pPr>
        <w:pStyle w:val="ListBullet"/>
        <w:widowControl/>
        <w:spacing w:after="70" w:line="281" w:lineRule="auto"/>
      </w:pPr>
      <w:r>
        <w:rPr>
          <w:rFonts w:ascii="Arial" w:hAnsi="Arial"/>
          <w:b w:val="0"/>
          <w:i w:val="0"/>
          <w:color w:val="111827"/>
          <w:sz w:val="21"/>
        </w:rPr>
        <w:t>Delivery zones, delivery price logic and collection rules.</w:t>
      </w:r>
    </w:p>
    <w:p>
      <w:pPr>
        <w:pStyle w:val="ListBullet"/>
        <w:widowControl/>
        <w:spacing w:after="70" w:line="281" w:lineRule="auto"/>
      </w:pPr>
      <w:r>
        <w:rPr>
          <w:rFonts w:ascii="Arial" w:hAnsi="Arial"/>
          <w:b w:val="0"/>
          <w:i w:val="0"/>
          <w:color w:val="111827"/>
          <w:sz w:val="21"/>
        </w:rPr>
        <w:t>Operator option, operator qualification and price inclusion/exclusion.</w:t>
      </w:r>
    </w:p>
    <w:p>
      <w:pPr>
        <w:pStyle w:val="ListBullet"/>
        <w:widowControl/>
        <w:spacing w:after="70" w:line="281" w:lineRule="auto"/>
      </w:pPr>
      <w:r>
        <w:rPr>
          <w:rFonts w:ascii="Arial" w:hAnsi="Arial"/>
          <w:b w:val="0"/>
          <w:i w:val="0"/>
          <w:color w:val="111827"/>
          <w:sz w:val="21"/>
        </w:rPr>
        <w:t>Deposit, insurance, fuel, cleaning, damage, cancellation and late-return terms.</w:t>
      </w:r>
    </w:p>
    <w:p>
      <w:pPr>
        <w:pStyle w:val="ListBullet"/>
        <w:widowControl/>
        <w:spacing w:after="70" w:line="281" w:lineRule="auto"/>
      </w:pPr>
      <w:r>
        <w:rPr>
          <w:rFonts w:ascii="Arial" w:hAnsi="Arial"/>
          <w:b w:val="0"/>
          <w:i w:val="0"/>
          <w:color w:val="111827"/>
          <w:sz w:val="21"/>
        </w:rPr>
        <w:t>Required site conditions, permits, access constraints and safety requirements.</w:t>
      </w:r>
    </w:p>
    <w:p>
      <w:pPr>
        <w:pStyle w:val="ListBullet"/>
        <w:widowControl/>
        <w:spacing w:after="70" w:line="281" w:lineRule="auto"/>
      </w:pPr>
      <w:r>
        <w:rPr>
          <w:rFonts w:ascii="Arial" w:hAnsi="Arial"/>
          <w:b w:val="0"/>
          <w:i w:val="0"/>
          <w:color w:val="111827"/>
          <w:sz w:val="21"/>
        </w:rPr>
        <w:t>Provider response time, languages and emergency/after-hours availability.</w:t>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IMPORTANT PRODUCT DECISION</w:t>
            </w:r>
          </w:p>
          <w:p>
            <w:pPr>
              <w:spacing w:before="0" w:after="0" w:line="278" w:lineRule="auto"/>
            </w:pPr>
            <w:r>
              <w:rPr>
                <w:rFonts w:ascii="Arial" w:hAnsi="Arial"/>
                <w:b w:val="0"/>
                <w:i w:val="0"/>
                <w:color w:val="111827"/>
                <w:sz w:val="21"/>
              </w:rPr>
              <w:t>Parts sales should initially be an inquiry or custom-quote workflow unless suppliers can guarantee current stock, exact compatibility, VAT pricing and fulfillment. A full commerce checkout is a different operating model.</w:t>
            </w:r>
          </w:p>
        </w:tc>
      </w:tr>
    </w:tbl>
    <w:p>
      <w:pPr>
        <w:keepNext w:val="0"/>
        <w:widowControl/>
        <w:spacing w:before="0" w:after="40" w:line="283" w:lineRule="auto"/>
        <w:jc w:val="left"/>
      </w:pPr>
      <w:r>
        <w:rPr>
          <w:rFonts w:ascii="Arial" w:hAnsi="Arial"/>
          <w:b w:val="0"/>
          <w:i w:val="0"/>
          <w:color w:val="111827"/>
          <w:sz w:val="4"/>
        </w:rPr>
      </w:r>
    </w:p>
    <w:p>
      <w:pPr>
        <w:pStyle w:val="Heading1"/>
        <w:keepNext/>
        <w:widowControl/>
      </w:pPr>
      <w:r>
        <w:t>4. Users, permissions and profiles</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800"/>
        <w:gridCol w:w="4700"/>
        <w:gridCol w:w="2860"/>
      </w:tblGrid>
      <w:tr>
        <w:trPr>
          <w:tblHeader w:val="true"/>
          <w:cantSplit/>
        </w:trPr>
        <w:tc>
          <w:tcPr>
            <w:tcW w:type="dxa" w:w="1800"/>
            <w:shd w:fill="18324A"/>
            <w:tcMar>
              <w:top w:w="110" w:type="dxa"/>
              <w:start w:w="120" w:type="dxa"/>
              <w:bottom w:w="110" w:type="dxa"/>
              <w:end w:w="120" w:type="dxa"/>
            </w:tcMar>
            <w:vAlign w:val="center"/>
          </w:tcPr>
          <w:p>
            <w:pPr>
              <w:spacing w:after="0"/>
            </w:pPr>
            <w:r>
              <w:rPr>
                <w:rFonts w:ascii="Arial" w:hAnsi="Arial"/>
                <w:b/>
                <w:i w:val="0"/>
                <w:color w:val="FFFFFF"/>
                <w:sz w:val="18"/>
              </w:rPr>
              <w:t>Role</w:t>
            </w:r>
          </w:p>
        </w:tc>
        <w:tc>
          <w:tcPr>
            <w:tcW w:type="dxa" w:w="4700"/>
            <w:shd w:fill="18324A"/>
            <w:tcMar>
              <w:top w:w="110" w:type="dxa"/>
              <w:start w:w="120" w:type="dxa"/>
              <w:bottom w:w="110" w:type="dxa"/>
              <w:end w:w="120" w:type="dxa"/>
            </w:tcMar>
            <w:vAlign w:val="center"/>
          </w:tcPr>
          <w:p>
            <w:pPr>
              <w:spacing w:after="0"/>
            </w:pPr>
            <w:r>
              <w:rPr>
                <w:rFonts w:ascii="Arial" w:hAnsi="Arial"/>
                <w:b/>
                <w:i w:val="0"/>
                <w:color w:val="FFFFFF"/>
                <w:sz w:val="18"/>
              </w:rPr>
              <w:t>Core capabilities</w:t>
            </w:r>
          </w:p>
        </w:tc>
        <w:tc>
          <w:tcPr>
            <w:tcW w:type="dxa" w:w="2860"/>
            <w:shd w:fill="18324A"/>
            <w:tcMar>
              <w:top w:w="110" w:type="dxa"/>
              <w:start w:w="120" w:type="dxa"/>
              <w:bottom w:w="110" w:type="dxa"/>
              <w:end w:w="120" w:type="dxa"/>
            </w:tcMar>
            <w:vAlign w:val="center"/>
          </w:tcPr>
          <w:p>
            <w:pPr>
              <w:spacing w:after="0"/>
            </w:pPr>
            <w:r>
              <w:rPr>
                <w:rFonts w:ascii="Arial" w:hAnsi="Arial"/>
                <w:b/>
                <w:i w:val="0"/>
                <w:color w:val="FFFFFF"/>
                <w:sz w:val="18"/>
              </w:rPr>
              <w:t>Verification</w:t>
            </w:r>
          </w:p>
        </w:tc>
      </w:tr>
      <w:tr>
        <w:trPr>
          <w:cantSplit/>
        </w:trPr>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business</w:t>
            </w:r>
          </w:p>
        </w:tc>
        <w:tc>
          <w:tcPr>
            <w:tcW w:type="dxa" w:w="4700"/>
            <w:tcMar>
              <w:top w:w="100" w:type="dxa"/>
              <w:start w:w="120" w:type="dxa"/>
              <w:bottom w:w="100" w:type="dxa"/>
              <w:end w:w="120" w:type="dxa"/>
            </w:tcMar>
            <w:vAlign w:val="center"/>
          </w:tcPr>
          <w:p>
            <w:pPr>
              <w:spacing w:after="0" w:line="264" w:lineRule="auto"/>
            </w:pPr>
            <w:r>
              <w:rPr>
                <w:rFonts w:ascii="Arial" w:hAnsi="Arial"/>
                <w:b w:val="0"/>
                <w:i w:val="0"/>
                <w:color w:val="111827"/>
                <w:sz w:val="18"/>
              </w:rPr>
              <w:t>Search, save, request booking, request quote, message, manage jobs and review.</w:t>
            </w:r>
          </w:p>
        </w:tc>
        <w:tc>
          <w:tcPr>
            <w:tcW w:type="dxa" w:w="2860"/>
            <w:tcMar>
              <w:top w:w="100" w:type="dxa"/>
              <w:start w:w="120" w:type="dxa"/>
              <w:bottom w:w="100" w:type="dxa"/>
              <w:end w:w="120" w:type="dxa"/>
            </w:tcMar>
            <w:vAlign w:val="center"/>
          </w:tcPr>
          <w:p>
            <w:pPr>
              <w:spacing w:after="0" w:line="264" w:lineRule="auto"/>
            </w:pPr>
            <w:r>
              <w:rPr>
                <w:rFonts w:ascii="Arial" w:hAnsi="Arial"/>
                <w:b w:val="0"/>
                <w:i w:val="0"/>
                <w:color w:val="111827"/>
                <w:sz w:val="18"/>
              </w:rPr>
              <w:t>Business details; responsible contact; optional procurement authorization.</w:t>
            </w:r>
          </w:p>
        </w:tc>
      </w:tr>
      <w:tr>
        <w:trPr>
          <w:cantSplit/>
        </w:trPr>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owner/admin</w:t>
            </w:r>
          </w:p>
        </w:tc>
        <w:tc>
          <w:tcPr>
            <w:tcW w:type="dxa" w:w="47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Manage business profile, team, subscriptions, listings, calendar, prices, leads and documents.</w:t>
            </w:r>
          </w:p>
        </w:tc>
        <w:tc>
          <w:tcPr>
            <w:tcW w:type="dxa" w:w="2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Registered business; identity; bank/invoice details if later needed; category documents.</w:t>
            </w:r>
          </w:p>
        </w:tc>
      </w:tr>
      <w:tr>
        <w:trPr>
          <w:cantSplit/>
        </w:trPr>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staff/operator</w:t>
            </w:r>
          </w:p>
        </w:tc>
        <w:tc>
          <w:tcPr>
            <w:tcW w:type="dxa" w:w="4700"/>
            <w:tcMar>
              <w:top w:w="100" w:type="dxa"/>
              <w:start w:w="120" w:type="dxa"/>
              <w:bottom w:w="100" w:type="dxa"/>
              <w:end w:w="120" w:type="dxa"/>
            </w:tcMar>
            <w:vAlign w:val="center"/>
          </w:tcPr>
          <w:p>
            <w:pPr>
              <w:spacing w:after="0" w:line="264" w:lineRule="auto"/>
            </w:pPr>
            <w:r>
              <w:rPr>
                <w:rFonts w:ascii="Arial" w:hAnsi="Arial"/>
                <w:b w:val="0"/>
                <w:i w:val="0"/>
                <w:color w:val="111827"/>
                <w:sz w:val="18"/>
              </w:rPr>
              <w:t>See assigned work, availability and messages according to permissions.</w:t>
            </w:r>
          </w:p>
        </w:tc>
        <w:tc>
          <w:tcPr>
            <w:tcW w:type="dxa" w:w="2860"/>
            <w:tcMar>
              <w:top w:w="100" w:type="dxa"/>
              <w:start w:w="120" w:type="dxa"/>
              <w:bottom w:w="100" w:type="dxa"/>
              <w:end w:w="120" w:type="dxa"/>
            </w:tcMar>
            <w:vAlign w:val="center"/>
          </w:tcPr>
          <w:p>
            <w:pPr>
              <w:spacing w:after="0" w:line="264" w:lineRule="auto"/>
            </w:pPr>
            <w:r>
              <w:rPr>
                <w:rFonts w:ascii="Arial" w:hAnsi="Arial"/>
                <w:b w:val="0"/>
                <w:i w:val="0"/>
                <w:color w:val="111827"/>
                <w:sz w:val="18"/>
              </w:rPr>
              <w:t>Identity and applicable licenses/certificates.</w:t>
            </w:r>
          </w:p>
        </w:tc>
      </w:tr>
      <w:tr>
        <w:trPr>
          <w:cantSplit/>
        </w:trPr>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Platform operations</w:t>
            </w:r>
          </w:p>
        </w:tc>
        <w:tc>
          <w:tcPr>
            <w:tcW w:type="dxa" w:w="47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Approve, suspend, moderate, support, review documents and manage disputes.</w:t>
            </w:r>
          </w:p>
        </w:tc>
        <w:tc>
          <w:tcPr>
            <w:tcW w:type="dxa" w:w="2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Internal role-based access and audit log.</w:t>
            </w:r>
          </w:p>
        </w:tc>
      </w:tr>
      <w:tr>
        <w:trPr>
          <w:cantSplit/>
        </w:trPr>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Platform super-admin</w:t>
            </w:r>
          </w:p>
        </w:tc>
        <w:tc>
          <w:tcPr>
            <w:tcW w:type="dxa" w:w="4700"/>
            <w:tcMar>
              <w:top w:w="100" w:type="dxa"/>
              <w:start w:w="120" w:type="dxa"/>
              <w:bottom w:w="100" w:type="dxa"/>
              <w:end w:w="120" w:type="dxa"/>
            </w:tcMar>
            <w:vAlign w:val="center"/>
          </w:tcPr>
          <w:p>
            <w:pPr>
              <w:spacing w:after="0" w:line="264" w:lineRule="auto"/>
            </w:pPr>
            <w:r>
              <w:rPr>
                <w:rFonts w:ascii="Arial" w:hAnsi="Arial"/>
                <w:b w:val="0"/>
                <w:i w:val="0"/>
                <w:color w:val="111827"/>
                <w:sz w:val="18"/>
              </w:rPr>
              <w:t>Manage configuration, staff permissions, billing, reports and irreversible actions.</w:t>
            </w:r>
          </w:p>
        </w:tc>
        <w:tc>
          <w:tcPr>
            <w:tcW w:type="dxa" w:w="2860"/>
            <w:tcMar>
              <w:top w:w="100" w:type="dxa"/>
              <w:start w:w="120" w:type="dxa"/>
              <w:bottom w:w="100" w:type="dxa"/>
              <w:end w:w="120" w:type="dxa"/>
            </w:tcMar>
            <w:vAlign w:val="center"/>
          </w:tcPr>
          <w:p>
            <w:pPr>
              <w:spacing w:after="0" w:line="264" w:lineRule="auto"/>
            </w:pPr>
            <w:r>
              <w:rPr>
                <w:rFonts w:ascii="Arial" w:hAnsi="Arial"/>
                <w:b w:val="0"/>
                <w:i w:val="0"/>
                <w:color w:val="111827"/>
                <w:sz w:val="18"/>
              </w:rPr>
              <w:t>MFA, restricted access and enhanced logging.</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Provider profile must communicate</w:t>
      </w:r>
    </w:p>
    <w:p>
      <w:pPr>
        <w:pStyle w:val="ListBullet"/>
        <w:widowControl/>
        <w:spacing w:after="70" w:line="281" w:lineRule="auto"/>
      </w:pPr>
      <w:r>
        <w:rPr>
          <w:rFonts w:ascii="Arial" w:hAnsi="Arial"/>
          <w:b w:val="0"/>
          <w:i w:val="0"/>
          <w:color w:val="111827"/>
          <w:sz w:val="21"/>
        </w:rPr>
        <w:t>Who the business is and whether it has been verified by the platform.</w:t>
      </w:r>
    </w:p>
    <w:p>
      <w:pPr>
        <w:pStyle w:val="ListBullet"/>
        <w:widowControl/>
        <w:spacing w:after="70" w:line="281" w:lineRule="auto"/>
      </w:pPr>
      <w:r>
        <w:rPr>
          <w:rFonts w:ascii="Arial" w:hAnsi="Arial"/>
          <w:b w:val="0"/>
          <w:i w:val="0"/>
          <w:color w:val="111827"/>
          <w:sz w:val="21"/>
        </w:rPr>
        <w:t>What it supplies, where it operates and which languages it supports.</w:t>
      </w:r>
    </w:p>
    <w:p>
      <w:pPr>
        <w:pStyle w:val="ListBullet"/>
        <w:widowControl/>
        <w:spacing w:after="70" w:line="281" w:lineRule="auto"/>
      </w:pPr>
      <w:r>
        <w:rPr>
          <w:rFonts w:ascii="Arial" w:hAnsi="Arial"/>
          <w:b w:val="0"/>
          <w:i w:val="0"/>
          <w:color w:val="111827"/>
          <w:sz w:val="21"/>
        </w:rPr>
        <w:t>Live equipment/service availability and clear pricing.</w:t>
      </w:r>
    </w:p>
    <w:p>
      <w:pPr>
        <w:pStyle w:val="ListBullet"/>
        <w:widowControl/>
        <w:spacing w:after="70" w:line="281" w:lineRule="auto"/>
      </w:pPr>
      <w:r>
        <w:rPr>
          <w:rFonts w:ascii="Arial" w:hAnsi="Arial"/>
          <w:b w:val="0"/>
          <w:i w:val="0"/>
          <w:color w:val="111827"/>
          <w:sz w:val="21"/>
        </w:rPr>
        <w:t>Documents or license status relevant to the listing category.</w:t>
      </w:r>
    </w:p>
    <w:p>
      <w:pPr>
        <w:pStyle w:val="ListBullet"/>
        <w:widowControl/>
        <w:spacing w:after="70" w:line="281" w:lineRule="auto"/>
      </w:pPr>
      <w:r>
        <w:rPr>
          <w:rFonts w:ascii="Arial" w:hAnsi="Arial"/>
          <w:b w:val="0"/>
          <w:i w:val="0"/>
          <w:color w:val="111827"/>
          <w:sz w:val="21"/>
        </w:rPr>
        <w:t>Ratings, completed jobs, response time and cancellation history.</w:t>
      </w:r>
    </w:p>
    <w:p>
      <w:pPr>
        <w:pStyle w:val="ListBullet"/>
        <w:widowControl/>
        <w:spacing w:after="70" w:line="281" w:lineRule="auto"/>
      </w:pPr>
      <w:r>
        <w:rPr>
          <w:rFonts w:ascii="Arial" w:hAnsi="Arial"/>
          <w:b w:val="0"/>
          <w:i w:val="0"/>
          <w:color w:val="111827"/>
          <w:sz w:val="21"/>
        </w:rPr>
        <w:t>The provider’s own commercial terms and responsibility statement.</w:t>
      </w:r>
    </w:p>
    <w:p>
      <w:pPr>
        <w:widowControl/>
      </w:pPr>
      <w:r>
        <w:br w:type="page"/>
      </w:r>
    </w:p>
    <w:p>
      <w:pPr>
        <w:pStyle w:val="Heading1"/>
        <w:keepNext/>
        <w:widowControl/>
      </w:pPr>
      <w:r>
        <w:t>5. Business model and subscription design</w:t>
      </w:r>
    </w:p>
    <w:p>
      <w:pPr>
        <w:keepNext w:val="0"/>
        <w:widowControl/>
        <w:spacing w:before="0" w:after="120" w:line="283" w:lineRule="auto"/>
        <w:jc w:val="left"/>
      </w:pPr>
      <w:r>
        <w:rPr>
          <w:rFonts w:ascii="Arial" w:hAnsi="Arial"/>
          <w:b w:val="0"/>
          <w:i w:val="0"/>
          <w:color w:val="111827"/>
          <w:sz w:val="21"/>
        </w:rPr>
        <w:t>The provider subscription is the startup’s initial revenue engine. The platform must demonstrate business value before charging at full price.</w:t>
      </w:r>
    </w:p>
    <w:p>
      <w:pPr>
        <w:pStyle w:val="Heading2"/>
        <w:keepNext/>
        <w:widowControl/>
      </w:pPr>
      <w:r>
        <w:t>Subscription questions to validate</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050"/>
        <w:gridCol w:w="7310"/>
      </w:tblGrid>
      <w:tr>
        <w:trPr>
          <w:tblHeader w:val="true"/>
          <w:cantSplit/>
        </w:trPr>
        <w:tc>
          <w:tcPr>
            <w:tcW w:type="dxa" w:w="2050"/>
            <w:shd w:fill="18324A"/>
            <w:tcMar>
              <w:top w:w="110" w:type="dxa"/>
              <w:start w:w="120" w:type="dxa"/>
              <w:bottom w:w="110" w:type="dxa"/>
              <w:end w:w="120" w:type="dxa"/>
            </w:tcMar>
            <w:vAlign w:val="center"/>
          </w:tcPr>
          <w:p>
            <w:pPr>
              <w:spacing w:after="0"/>
            </w:pPr>
            <w:r>
              <w:rPr>
                <w:rFonts w:ascii="Arial" w:hAnsi="Arial"/>
                <w:b/>
                <w:i w:val="0"/>
                <w:color w:val="FFFFFF"/>
                <w:sz w:val="18"/>
              </w:rPr>
              <w:t>Decision</w:t>
            </w:r>
          </w:p>
        </w:tc>
        <w:tc>
          <w:tcPr>
            <w:tcW w:type="dxa" w:w="7310"/>
            <w:shd w:fill="18324A"/>
            <w:tcMar>
              <w:top w:w="110" w:type="dxa"/>
              <w:start w:w="120" w:type="dxa"/>
              <w:bottom w:w="110" w:type="dxa"/>
              <w:end w:w="120" w:type="dxa"/>
            </w:tcMar>
            <w:vAlign w:val="center"/>
          </w:tcPr>
          <w:p>
            <w:pPr>
              <w:spacing w:after="0"/>
            </w:pPr>
            <w:r>
              <w:rPr>
                <w:rFonts w:ascii="Arial" w:hAnsi="Arial"/>
                <w:b/>
                <w:i w:val="0"/>
                <w:color w:val="FFFFFF"/>
                <w:sz w:val="18"/>
              </w:rPr>
              <w:t>Options to test</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Billing unit</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Per provider business, per branch, per seat or by number of live listings.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Trial</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Free founding-provider period, 30-day trial or limited free plan.</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Plans</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One simple launch plan; later add Basic / Pro / Fleet.</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Value</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Qualified exposure, listing tools, availability calendar, lead inbox, analytics and priority placement.</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Limits</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Number of listings, staff seats, branches, promoted listings and monthly inquiries.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Billing</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Monthly and annual subscription through an external payment provider; VAT invoice process defined.</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Failure</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Grace period, dunning, reduced visibility, suspension and data retention.</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Recommended launch approach</w:t>
      </w:r>
    </w:p>
    <w:p>
      <w:pPr>
        <w:pStyle w:val="ListBullet"/>
        <w:widowControl/>
        <w:spacing w:after="70" w:line="281" w:lineRule="auto"/>
      </w:pPr>
      <w:r>
        <w:rPr>
          <w:rFonts w:ascii="Arial" w:hAnsi="Arial"/>
          <w:b w:val="0"/>
          <w:i w:val="0"/>
          <w:color w:val="111827"/>
          <w:sz w:val="21"/>
        </w:rPr>
        <w:t>Offer a time-limited Founding Provider plan to build supply before charging normal rates.</w:t>
      </w:r>
    </w:p>
    <w:p>
      <w:pPr>
        <w:pStyle w:val="ListBullet"/>
        <w:widowControl/>
        <w:spacing w:after="70" w:line="281" w:lineRule="auto"/>
      </w:pPr>
      <w:r>
        <w:rPr>
          <w:rFonts w:ascii="Arial" w:hAnsi="Arial"/>
          <w:b w:val="0"/>
          <w:i w:val="0"/>
          <w:color w:val="111827"/>
          <w:sz w:val="21"/>
        </w:rPr>
        <w:t>Keep customer browsing and inquiries free.</w:t>
      </w:r>
    </w:p>
    <w:p>
      <w:pPr>
        <w:pStyle w:val="ListBullet"/>
        <w:widowControl/>
        <w:spacing w:after="70" w:line="281" w:lineRule="auto"/>
      </w:pPr>
      <w:r>
        <w:rPr>
          <w:rFonts w:ascii="Arial" w:hAnsi="Arial"/>
          <w:b w:val="0"/>
          <w:i w:val="0"/>
          <w:color w:val="111827"/>
          <w:sz w:val="21"/>
        </w:rPr>
        <w:t>Avoid transaction commission while the platform does not process or verify the final contract value.</w:t>
      </w:r>
    </w:p>
    <w:p>
      <w:pPr>
        <w:pStyle w:val="ListBullet"/>
        <w:widowControl/>
        <w:spacing w:after="70" w:line="281" w:lineRule="auto"/>
      </w:pPr>
      <w:r>
        <w:rPr>
          <w:rFonts w:ascii="Arial" w:hAnsi="Arial"/>
          <w:b w:val="0"/>
          <w:i w:val="0"/>
          <w:color w:val="111827"/>
          <w:sz w:val="21"/>
        </w:rPr>
        <w:t>Do not sell ranking that overrides safety, verification or genuine relevance.</w:t>
      </w:r>
    </w:p>
    <w:p>
      <w:pPr>
        <w:pStyle w:val="ListBullet"/>
        <w:widowControl/>
        <w:spacing w:after="70" w:line="281" w:lineRule="auto"/>
      </w:pPr>
      <w:r>
        <w:rPr>
          <w:rFonts w:ascii="Arial" w:hAnsi="Arial"/>
          <w:b w:val="0"/>
          <w:i w:val="0"/>
          <w:color w:val="111827"/>
          <w:sz w:val="21"/>
        </w:rPr>
        <w:t>Track provider outcomes: views, saved listings, inquiries, response time and reported completed jobs.</w:t>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COMMERCIAL RISK</w:t>
            </w:r>
          </w:p>
          <w:p>
            <w:pPr>
              <w:spacing w:before="0" w:after="0" w:line="278" w:lineRule="auto"/>
            </w:pPr>
            <w:r>
              <w:rPr>
                <w:rFonts w:ascii="Arial" w:hAnsi="Arial"/>
                <w:b w:val="0"/>
                <w:i w:val="0"/>
                <w:color w:val="111827"/>
                <w:sz w:val="21"/>
              </w:rPr>
              <w:t>A pure subscription model faces a cold-start objection: “Why pay before customers arrive?” The founding plan must trade a temporary discount or free period for complete listings, accurate calendars, fast responses and structured feedback.</w:t>
            </w:r>
          </w:p>
        </w:tc>
      </w:tr>
    </w:tbl>
    <w:p>
      <w:pPr>
        <w:keepNext w:val="0"/>
        <w:widowControl/>
        <w:spacing w:before="0" w:after="40" w:line="283" w:lineRule="auto"/>
        <w:jc w:val="left"/>
      </w:pPr>
      <w:r>
        <w:rPr>
          <w:rFonts w:ascii="Arial" w:hAnsi="Arial"/>
          <w:b w:val="0"/>
          <w:i w:val="0"/>
          <w:color w:val="111827"/>
          <w:sz w:val="4"/>
        </w:rPr>
      </w:r>
    </w:p>
    <w:p>
      <w:pPr>
        <w:pStyle w:val="Heading1"/>
        <w:keepNext/>
        <w:widowControl/>
      </w:pPr>
      <w:r>
        <w:t>6. Core customer journeys</w:t>
      </w:r>
    </w:p>
    <w:p>
      <w:pPr>
        <w:pStyle w:val="Heading2"/>
        <w:keepNext/>
        <w:widowControl/>
      </w:pPr>
      <w:r>
        <w:t>A. Fixed-price equipment booking request</w:t>
      </w:r>
    </w:p>
    <w:p>
      <w:pPr>
        <w:pStyle w:val="ListNumber"/>
        <w:widowControl/>
        <w:numPr>
          <w:ilvl w:val="0"/>
          <w:numId w:val="11"/>
        </w:numPr>
        <w:spacing w:after="80" w:line="281" w:lineRule="auto"/>
      </w:pPr>
      <w:r>
        <w:rPr>
          <w:rFonts w:ascii="Arial" w:hAnsi="Arial"/>
          <w:b w:val="0"/>
          <w:i w:val="0"/>
          <w:color w:val="111827"/>
          <w:sz w:val="21"/>
        </w:rPr>
        <w:t>Customer selects location, dates and equipment category.</w:t>
      </w:r>
    </w:p>
    <w:p>
      <w:pPr>
        <w:pStyle w:val="ListNumber"/>
        <w:widowControl/>
        <w:numPr>
          <w:ilvl w:val="0"/>
          <w:numId w:val="11"/>
        </w:numPr>
        <w:spacing w:after="80" w:line="281" w:lineRule="auto"/>
      </w:pPr>
      <w:r>
        <w:rPr>
          <w:rFonts w:ascii="Arial" w:hAnsi="Arial"/>
          <w:b w:val="0"/>
          <w:i w:val="0"/>
          <w:color w:val="111827"/>
          <w:sz w:val="21"/>
        </w:rPr>
        <w:t>Results show only relevant available listings and the displayed rental price.</w:t>
      </w:r>
    </w:p>
    <w:p>
      <w:pPr>
        <w:pStyle w:val="ListNumber"/>
        <w:widowControl/>
        <w:numPr>
          <w:ilvl w:val="0"/>
          <w:numId w:val="11"/>
        </w:numPr>
        <w:spacing w:after="80" w:line="281" w:lineRule="auto"/>
      </w:pPr>
      <w:r>
        <w:rPr>
          <w:rFonts w:ascii="Arial" w:hAnsi="Arial"/>
          <w:b w:val="0"/>
          <w:i w:val="0"/>
          <w:color w:val="111827"/>
          <w:sz w:val="21"/>
        </w:rPr>
        <w:t>Customer reviews specifications, delivery terms, operator option and provider profile.</w:t>
      </w:r>
    </w:p>
    <w:p>
      <w:pPr>
        <w:pStyle w:val="ListNumber"/>
        <w:widowControl/>
        <w:numPr>
          <w:ilvl w:val="0"/>
          <w:numId w:val="11"/>
        </w:numPr>
        <w:spacing w:after="80" w:line="281" w:lineRule="auto"/>
      </w:pPr>
      <w:r>
        <w:rPr>
          <w:rFonts w:ascii="Arial" w:hAnsi="Arial"/>
          <w:b w:val="0"/>
          <w:i w:val="0"/>
          <w:color w:val="111827"/>
          <w:sz w:val="21"/>
        </w:rPr>
        <w:t>Customer submits a booking request and acknowledges provider/platform terms.</w:t>
      </w:r>
    </w:p>
    <w:p>
      <w:pPr>
        <w:pStyle w:val="ListNumber"/>
        <w:widowControl/>
        <w:numPr>
          <w:ilvl w:val="0"/>
          <w:numId w:val="11"/>
        </w:numPr>
        <w:spacing w:after="80" w:line="281" w:lineRule="auto"/>
      </w:pPr>
      <w:r>
        <w:rPr>
          <w:rFonts w:ascii="Arial" w:hAnsi="Arial"/>
          <w:b w:val="0"/>
          <w:i w:val="0"/>
          <w:color w:val="111827"/>
          <w:sz w:val="21"/>
        </w:rPr>
        <w:t>Provider confirms, rejects or identifies a conflict; price changes require a revised offer.</w:t>
      </w:r>
    </w:p>
    <w:p>
      <w:pPr>
        <w:pStyle w:val="ListNumber"/>
        <w:widowControl/>
        <w:numPr>
          <w:ilvl w:val="0"/>
          <w:numId w:val="11"/>
        </w:numPr>
        <w:spacing w:after="80" w:line="281" w:lineRule="auto"/>
      </w:pPr>
      <w:r>
        <w:rPr>
          <w:rFonts w:ascii="Arial" w:hAnsi="Arial"/>
          <w:b w:val="0"/>
          <w:i w:val="0"/>
          <w:color w:val="111827"/>
          <w:sz w:val="21"/>
        </w:rPr>
        <w:t>Parties message in the app and finalize their direct commercial agreement.</w:t>
      </w:r>
    </w:p>
    <w:p>
      <w:pPr>
        <w:pStyle w:val="ListNumber"/>
        <w:widowControl/>
        <w:numPr>
          <w:ilvl w:val="0"/>
          <w:numId w:val="11"/>
        </w:numPr>
        <w:spacing w:after="80" w:line="281" w:lineRule="auto"/>
      </w:pPr>
      <w:r>
        <w:rPr>
          <w:rFonts w:ascii="Arial" w:hAnsi="Arial"/>
          <w:b w:val="0"/>
          <w:i w:val="0"/>
          <w:color w:val="111827"/>
          <w:sz w:val="21"/>
        </w:rPr>
        <w:t>Booking status is recorded; payment occurs outside the platform.</w:t>
      </w:r>
    </w:p>
    <w:p>
      <w:pPr>
        <w:pStyle w:val="ListNumber"/>
        <w:widowControl/>
        <w:numPr>
          <w:ilvl w:val="0"/>
          <w:numId w:val="11"/>
        </w:numPr>
        <w:spacing w:after="80" w:line="281" w:lineRule="auto"/>
      </w:pPr>
      <w:r>
        <w:rPr>
          <w:rFonts w:ascii="Arial" w:hAnsi="Arial"/>
          <w:b w:val="0"/>
          <w:i w:val="0"/>
          <w:color w:val="111827"/>
          <w:sz w:val="21"/>
        </w:rPr>
        <w:t>After the period, both parties can confirm completion and submit a review.</w:t>
      </w:r>
    </w:p>
    <w:p>
      <w:pPr>
        <w:pStyle w:val="Heading2"/>
        <w:keepNext/>
        <w:widowControl/>
      </w:pPr>
      <w:r>
        <w:t>B. Custom quotation</w:t>
      </w:r>
    </w:p>
    <w:p>
      <w:pPr>
        <w:pStyle w:val="ListNumber"/>
        <w:widowControl/>
        <w:numPr>
          <w:ilvl w:val="0"/>
          <w:numId w:val="12"/>
        </w:numPr>
        <w:spacing w:after="80" w:line="281" w:lineRule="auto"/>
      </w:pPr>
      <w:r>
        <w:rPr>
          <w:rFonts w:ascii="Arial" w:hAnsi="Arial"/>
          <w:b w:val="0"/>
          <w:i w:val="0"/>
          <w:color w:val="111827"/>
          <w:sz w:val="21"/>
        </w:rPr>
        <w:t>Customer describes work, location, dates, specifications, site access and optional attachments.</w:t>
      </w:r>
    </w:p>
    <w:p>
      <w:pPr>
        <w:pStyle w:val="ListNumber"/>
        <w:widowControl/>
        <w:numPr>
          <w:ilvl w:val="0"/>
          <w:numId w:val="12"/>
        </w:numPr>
        <w:spacing w:after="80" w:line="281" w:lineRule="auto"/>
      </w:pPr>
      <w:r>
        <w:rPr>
          <w:rFonts w:ascii="Arial" w:hAnsi="Arial"/>
          <w:b w:val="0"/>
          <w:i w:val="0"/>
          <w:color w:val="111827"/>
          <w:sz w:val="21"/>
        </w:rPr>
        <w:t>Request goes to one selected provider or a controlled shortlist, not an uncontrolled public blast.</w:t>
      </w:r>
    </w:p>
    <w:p>
      <w:pPr>
        <w:pStyle w:val="ListNumber"/>
        <w:widowControl/>
        <w:numPr>
          <w:ilvl w:val="0"/>
          <w:numId w:val="12"/>
        </w:numPr>
        <w:spacing w:after="80" w:line="281" w:lineRule="auto"/>
      </w:pPr>
      <w:r>
        <w:rPr>
          <w:rFonts w:ascii="Arial" w:hAnsi="Arial"/>
          <w:b w:val="0"/>
          <w:i w:val="0"/>
          <w:color w:val="111827"/>
          <w:sz w:val="21"/>
        </w:rPr>
        <w:t>Provider submits scope, availability, price and exclusions.</w:t>
      </w:r>
    </w:p>
    <w:p>
      <w:pPr>
        <w:pStyle w:val="ListNumber"/>
        <w:widowControl/>
        <w:numPr>
          <w:ilvl w:val="0"/>
          <w:numId w:val="12"/>
        </w:numPr>
        <w:spacing w:after="80" w:line="281" w:lineRule="auto"/>
      </w:pPr>
      <w:r>
        <w:rPr>
          <w:rFonts w:ascii="Arial" w:hAnsi="Arial"/>
          <w:b w:val="0"/>
          <w:i w:val="0"/>
          <w:color w:val="111827"/>
          <w:sz w:val="21"/>
        </w:rPr>
        <w:t>Customer accepts the quote in principle and contacts the provider to complete the direct contract.</w:t>
      </w:r>
    </w:p>
    <w:p>
      <w:pPr>
        <w:pStyle w:val="Heading2"/>
        <w:keepNext/>
        <w:widowControl/>
      </w:pPr>
      <w:r>
        <w:t>C. Parts inquiry</w:t>
      </w:r>
    </w:p>
    <w:p>
      <w:pPr>
        <w:pStyle w:val="ListNumber"/>
        <w:widowControl/>
        <w:numPr>
          <w:ilvl w:val="0"/>
          <w:numId w:val="13"/>
        </w:numPr>
        <w:spacing w:after="80" w:line="281" w:lineRule="auto"/>
      </w:pPr>
      <w:r>
        <w:rPr>
          <w:rFonts w:ascii="Arial" w:hAnsi="Arial"/>
          <w:b w:val="0"/>
          <w:i w:val="0"/>
          <w:color w:val="111827"/>
          <w:sz w:val="21"/>
        </w:rPr>
        <w:t>Customer searches by machine, model, part number or category.</w:t>
      </w:r>
    </w:p>
    <w:p>
      <w:pPr>
        <w:pStyle w:val="ListNumber"/>
        <w:widowControl/>
        <w:numPr>
          <w:ilvl w:val="0"/>
          <w:numId w:val="13"/>
        </w:numPr>
        <w:spacing w:after="80" w:line="281" w:lineRule="auto"/>
      </w:pPr>
      <w:r>
        <w:rPr>
          <w:rFonts w:ascii="Arial" w:hAnsi="Arial"/>
          <w:b w:val="0"/>
          <w:i w:val="0"/>
          <w:color w:val="111827"/>
          <w:sz w:val="21"/>
        </w:rPr>
        <w:t>Supplier confirms compatibility, stock, price, VAT and delivery.</w:t>
      </w:r>
    </w:p>
    <w:p>
      <w:pPr>
        <w:pStyle w:val="ListNumber"/>
        <w:widowControl/>
        <w:numPr>
          <w:ilvl w:val="0"/>
          <w:numId w:val="13"/>
        </w:numPr>
        <w:spacing w:after="80" w:line="281" w:lineRule="auto"/>
      </w:pPr>
      <w:r>
        <w:rPr>
          <w:rFonts w:ascii="Arial" w:hAnsi="Arial"/>
          <w:b w:val="0"/>
          <w:i w:val="0"/>
          <w:color w:val="111827"/>
          <w:sz w:val="21"/>
        </w:rPr>
        <w:t>Parties complete the purchase directly outside the platform.</w:t>
      </w:r>
    </w:p>
    <w:p>
      <w:pPr>
        <w:widowControl/>
      </w:pPr>
      <w:r>
        <w:br w:type="page"/>
      </w:r>
    </w:p>
    <w:p>
      <w:pPr>
        <w:pStyle w:val="Heading1"/>
        <w:keepNext/>
        <w:widowControl/>
      </w:pPr>
      <w:r>
        <w:t>7. Marketplace rules, trust and safety</w:t>
      </w:r>
    </w:p>
    <w:p>
      <w:pPr>
        <w:keepNext w:val="0"/>
        <w:widowControl/>
        <w:spacing w:before="0" w:after="120" w:line="283" w:lineRule="auto"/>
        <w:jc w:val="left"/>
      </w:pPr>
      <w:r>
        <w:rPr>
          <w:rFonts w:ascii="Arial" w:hAnsi="Arial"/>
          <w:b w:val="0"/>
          <w:i w:val="0"/>
          <w:color w:val="111827"/>
          <w:sz w:val="21"/>
        </w:rPr>
        <w:t>Disclaimers alone are not a control system. The platform needs verification, structured disclosures, records, moderation and enforceable rules. The platform should clearly state what it verifies and never imply that a badge guarantees quality, safety or legal compliance.</w:t>
      </w:r>
    </w:p>
    <w:p>
      <w:pPr>
        <w:pStyle w:val="Heading2"/>
        <w:keepNext/>
        <w:widowControl/>
      </w:pPr>
      <w:r>
        <w:t>Provider onboarding checks</w:t>
      </w:r>
    </w:p>
    <w:p>
      <w:pPr>
        <w:pStyle w:val="ListBullet"/>
        <w:widowControl/>
        <w:spacing w:after="70" w:line="281" w:lineRule="auto"/>
      </w:pPr>
      <w:r>
        <w:rPr>
          <w:rFonts w:ascii="Arial" w:hAnsi="Arial"/>
          <w:b w:val="0"/>
          <w:i w:val="0"/>
          <w:color w:val="111827"/>
          <w:sz w:val="21"/>
        </w:rPr>
        <w:t>Registered business and authorized representative.</w:t>
      </w:r>
    </w:p>
    <w:p>
      <w:pPr>
        <w:pStyle w:val="ListBullet"/>
        <w:widowControl/>
        <w:spacing w:after="70" w:line="281" w:lineRule="auto"/>
      </w:pPr>
      <w:r>
        <w:rPr>
          <w:rFonts w:ascii="Arial" w:hAnsi="Arial"/>
          <w:b w:val="0"/>
          <w:i w:val="0"/>
          <w:color w:val="111827"/>
          <w:sz w:val="21"/>
        </w:rPr>
        <w:t>Phone, email and business address verification.</w:t>
      </w:r>
    </w:p>
    <w:p>
      <w:pPr>
        <w:pStyle w:val="ListBullet"/>
        <w:widowControl/>
        <w:spacing w:after="70" w:line="281" w:lineRule="auto"/>
      </w:pPr>
      <w:r>
        <w:rPr>
          <w:rFonts w:ascii="Arial" w:hAnsi="Arial"/>
          <w:b w:val="0"/>
          <w:i w:val="0"/>
          <w:color w:val="111827"/>
          <w:sz w:val="21"/>
        </w:rPr>
        <w:t>Category-specific license, registration, certification or insurance evidence where applicable.</w:t>
      </w:r>
    </w:p>
    <w:p>
      <w:pPr>
        <w:pStyle w:val="ListBullet"/>
        <w:widowControl/>
        <w:spacing w:after="70" w:line="281" w:lineRule="auto"/>
      </w:pPr>
      <w:r>
        <w:rPr>
          <w:rFonts w:ascii="Arial" w:hAnsi="Arial"/>
          <w:b w:val="0"/>
          <w:i w:val="0"/>
          <w:color w:val="111827"/>
          <w:sz w:val="21"/>
        </w:rPr>
        <w:t>Equipment ownership or authority to list; serial/registration evidence where appropriate.</w:t>
      </w:r>
    </w:p>
    <w:p>
      <w:pPr>
        <w:pStyle w:val="ListBullet"/>
        <w:widowControl/>
        <w:spacing w:after="70" w:line="281" w:lineRule="auto"/>
      </w:pPr>
      <w:r>
        <w:rPr>
          <w:rFonts w:ascii="Arial" w:hAnsi="Arial"/>
          <w:b w:val="0"/>
          <w:i w:val="0"/>
          <w:color w:val="111827"/>
          <w:sz w:val="21"/>
        </w:rPr>
        <w:t>Expiry dates with reminders and automatic restriction when critical documents lapse.</w:t>
      </w:r>
    </w:p>
    <w:p>
      <w:pPr>
        <w:pStyle w:val="ListBullet"/>
        <w:widowControl/>
        <w:spacing w:after="70" w:line="281" w:lineRule="auto"/>
      </w:pPr>
      <w:r>
        <w:rPr>
          <w:rFonts w:ascii="Arial" w:hAnsi="Arial"/>
          <w:b w:val="0"/>
          <w:i w:val="0"/>
          <w:color w:val="111827"/>
          <w:sz w:val="21"/>
        </w:rPr>
        <w:t>Acceptance of provider standards, prohibited conduct and review policy.</w:t>
      </w:r>
    </w:p>
    <w:p>
      <w:pPr>
        <w:pStyle w:val="Heading2"/>
        <w:keepNext/>
        <w:widowControl/>
      </w:pPr>
      <w:r>
        <w:t>Commercial responsibility record</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500"/>
        <w:gridCol w:w="6860"/>
      </w:tblGrid>
      <w:tr>
        <w:trPr>
          <w:tblHeader w:val="true"/>
          <w:cantSplit/>
        </w:trPr>
        <w:tc>
          <w:tcPr>
            <w:tcW w:type="dxa" w:w="2500"/>
            <w:shd w:fill="18324A"/>
            <w:tcMar>
              <w:top w:w="110" w:type="dxa"/>
              <w:start w:w="120" w:type="dxa"/>
              <w:bottom w:w="110" w:type="dxa"/>
              <w:end w:w="120" w:type="dxa"/>
            </w:tcMar>
            <w:vAlign w:val="center"/>
          </w:tcPr>
          <w:p>
            <w:pPr>
              <w:spacing w:after="0"/>
            </w:pPr>
            <w:r>
              <w:rPr>
                <w:rFonts w:ascii="Arial" w:hAnsi="Arial"/>
                <w:b/>
                <w:i w:val="0"/>
                <w:color w:val="FFFFFF"/>
                <w:sz w:val="18"/>
              </w:rPr>
              <w:t>Item</w:t>
            </w:r>
          </w:p>
        </w:tc>
        <w:tc>
          <w:tcPr>
            <w:tcW w:type="dxa" w:w="6860"/>
            <w:shd w:fill="18324A"/>
            <w:tcMar>
              <w:top w:w="110" w:type="dxa"/>
              <w:start w:w="120" w:type="dxa"/>
              <w:bottom w:w="110" w:type="dxa"/>
              <w:end w:w="120" w:type="dxa"/>
            </w:tcMar>
            <w:vAlign w:val="center"/>
          </w:tcPr>
          <w:p>
            <w:pPr>
              <w:spacing w:after="0"/>
            </w:pPr>
            <w:r>
              <w:rPr>
                <w:rFonts w:ascii="Arial" w:hAnsi="Arial"/>
                <w:b/>
                <w:i w:val="0"/>
                <w:color w:val="FFFFFF"/>
                <w:sz w:val="18"/>
              </w:rPr>
              <w:t>Must be visible before request</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Rental/service price</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Rate unit, VAT treatment, minimum term, overtime and exclusions.</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Delivery</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responsibility, service area, delivery/collection fees and access requirements.</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Equipment condition</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Condition statement, inspection/handover process and evidence.</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Operator</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Included/not included, qualifications, working hours and supervision responsibility.</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Insurance and deposit</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Who provides what, evidence required and damage/theft treatment.</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Fuel/consumables</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Starting level, refueling method and consumable charges.</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Cancellation</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Notice windows, provider cancellation and force-majeure approach.</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Safety/permits</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Site readiness, licenses, permits and responsible party.</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Dispute route</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Direct negotiation first; platform reporting and moderation limits.</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Platform enforcement</w:t>
      </w:r>
    </w:p>
    <w:p>
      <w:pPr>
        <w:pStyle w:val="ListBullet"/>
        <w:widowControl/>
        <w:spacing w:after="70" w:line="281" w:lineRule="auto"/>
      </w:pPr>
      <w:r>
        <w:rPr>
          <w:rFonts w:ascii="Arial" w:hAnsi="Arial"/>
          <w:b w:val="0"/>
          <w:i w:val="0"/>
          <w:color w:val="111827"/>
          <w:sz w:val="21"/>
        </w:rPr>
        <w:t>Reject or suspend false, duplicate, unsafe, expired or misleading listings.</w:t>
      </w:r>
    </w:p>
    <w:p>
      <w:pPr>
        <w:pStyle w:val="ListBullet"/>
        <w:widowControl/>
        <w:spacing w:after="70" w:line="281" w:lineRule="auto"/>
      </w:pPr>
      <w:r>
        <w:rPr>
          <w:rFonts w:ascii="Arial" w:hAnsi="Arial"/>
          <w:b w:val="0"/>
          <w:i w:val="0"/>
          <w:color w:val="111827"/>
          <w:sz w:val="21"/>
        </w:rPr>
        <w:t>Prohibit circumvention only if commercially justified; do not pretend outside payment can be fully monitored.</w:t>
      </w:r>
    </w:p>
    <w:p>
      <w:pPr>
        <w:pStyle w:val="ListBullet"/>
        <w:widowControl/>
        <w:spacing w:after="70" w:line="281" w:lineRule="auto"/>
      </w:pPr>
      <w:r>
        <w:rPr>
          <w:rFonts w:ascii="Arial" w:hAnsi="Arial"/>
          <w:b w:val="0"/>
          <w:i w:val="0"/>
          <w:color w:val="111827"/>
          <w:sz w:val="21"/>
        </w:rPr>
        <w:t>Create reporting categories for fraud, safety, harassment, discrimination, non-delivery and document concerns.</w:t>
      </w:r>
    </w:p>
    <w:p>
      <w:pPr>
        <w:pStyle w:val="ListBullet"/>
        <w:widowControl/>
        <w:spacing w:after="70" w:line="281" w:lineRule="auto"/>
      </w:pPr>
      <w:r>
        <w:rPr>
          <w:rFonts w:ascii="Arial" w:hAnsi="Arial"/>
          <w:b w:val="0"/>
          <w:i w:val="0"/>
          <w:color w:val="111827"/>
          <w:sz w:val="21"/>
        </w:rPr>
        <w:t>Separate customer support from formal legal dispute resolution.</w:t>
      </w:r>
    </w:p>
    <w:p>
      <w:pPr>
        <w:pStyle w:val="ListBullet"/>
        <w:widowControl/>
        <w:spacing w:after="70" w:line="281" w:lineRule="auto"/>
      </w:pPr>
      <w:r>
        <w:rPr>
          <w:rFonts w:ascii="Arial" w:hAnsi="Arial"/>
          <w:b w:val="0"/>
          <w:i w:val="0"/>
          <w:color w:val="111827"/>
          <w:sz w:val="21"/>
        </w:rPr>
        <w:t>Maintain an evidence and audit trail for approvals, edits, messages, reports and suspensions.</w:t>
      </w:r>
    </w:p>
    <w:p>
      <w:pPr>
        <w:pStyle w:val="ListBullet"/>
        <w:widowControl/>
        <w:spacing w:after="70" w:line="281" w:lineRule="auto"/>
      </w:pPr>
      <w:r>
        <w:rPr>
          <w:rFonts w:ascii="Arial" w:hAnsi="Arial"/>
          <w:b w:val="0"/>
          <w:i w:val="0"/>
          <w:color w:val="111827"/>
          <w:sz w:val="21"/>
        </w:rPr>
        <w:t>Define review eligibility and prevent reviews for unverified interactions.</w:t>
      </w:r>
    </w:p>
    <w:p>
      <w:pPr>
        <w:pStyle w:val="Heading1"/>
        <w:keepNext/>
        <w:widowControl/>
      </w:pPr>
      <w:r>
        <w:t>8. Legal, compliance and specialist review</w:t>
      </w:r>
    </w:p>
    <w:p>
      <w:pPr>
        <w:keepNext w:val="0"/>
        <w:widowControl/>
        <w:spacing w:before="0" w:after="120" w:line="283" w:lineRule="auto"/>
        <w:jc w:val="left"/>
      </w:pPr>
      <w:r>
        <w:rPr>
          <w:rFonts w:ascii="Arial" w:hAnsi="Arial"/>
          <w:b w:val="0"/>
          <w:i w:val="0"/>
          <w:color w:val="111827"/>
          <w:sz w:val="21"/>
        </w:rPr>
        <w:t>Before pilot onboarding, Israeli counsel should review the operating model and contracts. The checklist below is a planning scope, not a legal conclusion.</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050"/>
        <w:gridCol w:w="7310"/>
      </w:tblGrid>
      <w:tr>
        <w:trPr>
          <w:tblHeader w:val="true"/>
          <w:cantSplit/>
        </w:trPr>
        <w:tc>
          <w:tcPr>
            <w:tcW w:type="dxa" w:w="2050"/>
            <w:shd w:fill="18324A"/>
            <w:tcMar>
              <w:top w:w="110" w:type="dxa"/>
              <w:start w:w="120" w:type="dxa"/>
              <w:bottom w:w="110" w:type="dxa"/>
              <w:end w:w="120" w:type="dxa"/>
            </w:tcMar>
            <w:vAlign w:val="center"/>
          </w:tcPr>
          <w:p>
            <w:pPr>
              <w:spacing w:after="0"/>
            </w:pPr>
            <w:r>
              <w:rPr>
                <w:rFonts w:ascii="Arial" w:hAnsi="Arial"/>
                <w:b/>
                <w:i w:val="0"/>
                <w:color w:val="FFFFFF"/>
                <w:sz w:val="18"/>
              </w:rPr>
              <w:t>Workstream</w:t>
            </w:r>
          </w:p>
        </w:tc>
        <w:tc>
          <w:tcPr>
            <w:tcW w:type="dxa" w:w="7310"/>
            <w:shd w:fill="18324A"/>
            <w:tcMar>
              <w:top w:w="110" w:type="dxa"/>
              <w:start w:w="120" w:type="dxa"/>
              <w:bottom w:w="110" w:type="dxa"/>
              <w:end w:w="120" w:type="dxa"/>
            </w:tcMar>
            <w:vAlign w:val="center"/>
          </w:tcPr>
          <w:p>
            <w:pPr>
              <w:spacing w:after="0"/>
            </w:pPr>
            <w:r>
              <w:rPr>
                <w:rFonts w:ascii="Arial" w:hAnsi="Arial"/>
                <w:b/>
                <w:i w:val="0"/>
                <w:color w:val="FFFFFF"/>
                <w:sz w:val="18"/>
              </w:rPr>
              <w:t>Questions for specialist review</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Marketplace status</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Is the company only an advertising/connection platform, an intermediary, an agent or another regulated role?</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Terms</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terms, provider terms, subscription terms, acceptable use, suspension, disclaimers, liability and dispute jurisdiction.</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Direct contracts</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How provider/customer agreements are formed, what the platform records and whether “acceptance” has legal effect.</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Labor/employment</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How service businesses, workers and crews are represented without implying illegal labor supply or platform employment.</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Licensing</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Which categories require business, contractor, vehicle, engineering-equipment or operator documents.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Insurance</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Minimum provider coverage, evidence display, platform insurance and incident reporting.</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Privacy/data</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Lawful data collection, notices, database obligations, security, processors, retention, deletion and overseas hosting/transfers.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Accessibility</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Application and web obligations, Hebrew/Arabic support and applicable Israeli accessibility standard.</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Consumer/B2B</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Whether any private users may create consumer-law obligations; advertising and cancellation disclosures.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Tax/invoicing</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Subscription VAT invoices and clear statement that providers issue rental/service/parts invoices.</w:t>
            </w:r>
          </w:p>
        </w:tc>
      </w:tr>
      <w:tr>
        <w:trPr>
          <w:cantSplit/>
        </w:trPr>
        <w:tc>
          <w:tcPr>
            <w:tcW w:type="dxa" w:w="2050"/>
            <w:tcMar>
              <w:top w:w="100" w:type="dxa"/>
              <w:start w:w="120" w:type="dxa"/>
              <w:bottom w:w="100" w:type="dxa"/>
              <w:end w:w="120" w:type="dxa"/>
            </w:tcMar>
            <w:vAlign w:val="center"/>
          </w:tcPr>
          <w:p>
            <w:pPr>
              <w:spacing w:after="0" w:line="264" w:lineRule="auto"/>
            </w:pPr>
            <w:r>
              <w:rPr>
                <w:rFonts w:ascii="Arial" w:hAnsi="Arial"/>
                <w:b w:val="0"/>
                <w:i w:val="0"/>
                <w:color w:val="111827"/>
                <w:sz w:val="18"/>
              </w:rPr>
              <w:t>Messaging/content</w:t>
            </w:r>
          </w:p>
        </w:tc>
        <w:tc>
          <w:tcPr>
            <w:tcW w:type="dxa" w:w="7310"/>
            <w:tcMar>
              <w:top w:w="100" w:type="dxa"/>
              <w:start w:w="120" w:type="dxa"/>
              <w:bottom w:w="100" w:type="dxa"/>
              <w:end w:w="120" w:type="dxa"/>
            </w:tcMar>
            <w:vAlign w:val="center"/>
          </w:tcPr>
          <w:p>
            <w:pPr>
              <w:spacing w:after="0" w:line="264" w:lineRule="auto"/>
            </w:pPr>
            <w:r>
              <w:rPr>
                <w:rFonts w:ascii="Arial" w:hAnsi="Arial"/>
                <w:b w:val="0"/>
                <w:i w:val="0"/>
                <w:color w:val="111827"/>
                <w:sz w:val="18"/>
              </w:rPr>
              <w:t>Moderation, unlawful content, evidence retention, marketing consent and notification rules.</w:t>
            </w:r>
          </w:p>
        </w:tc>
      </w:tr>
      <w:tr>
        <w:trPr>
          <w:cantSplit/>
        </w:trPr>
        <w:tc>
          <w:tcPr>
            <w:tcW w:type="dxa" w:w="20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Payments</w:t>
            </w:r>
          </w:p>
        </w:tc>
        <w:tc>
          <w:tcPr>
            <w:tcW w:type="dxa" w:w="73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Confirm that subscription billing through a provider does not make the platform custodian of transaction funds.</w:t>
            </w:r>
          </w:p>
        </w:tc>
      </w:tr>
    </w:tbl>
    <w:p>
      <w:pPr>
        <w:keepNext w:val="0"/>
        <w:widowControl/>
        <w:spacing w:before="0" w:after="40" w:line="283" w:lineRule="auto"/>
        <w:jc w:val="left"/>
      </w:pPr>
      <w:r>
        <w:rPr>
          <w:rFonts w:ascii="Arial" w:hAnsi="Arial"/>
          <w:b w:val="0"/>
          <w:i w:val="0"/>
          <w:color w:val="111827"/>
          <w:sz w:val="4"/>
        </w:rPr>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KNOWN REGULATORY SIGNALS</w:t>
            </w:r>
          </w:p>
          <w:p>
            <w:pPr>
              <w:spacing w:before="0" w:after="0" w:line="278" w:lineRule="auto"/>
            </w:pPr>
            <w:r>
              <w:rPr>
                <w:rFonts w:ascii="Arial" w:hAnsi="Arial"/>
                <w:b w:val="0"/>
                <w:i w:val="0"/>
                <w:color w:val="111827"/>
                <w:sz w:val="21"/>
              </w:rPr>
              <w:t>Israel provides official licensing services for mechanical engineering/earthmoving equipment; the Privacy Protection Authority regulates digital personal-information databases; and Israeli digital services commonly implement WCAG-based AA accessibility. The verification matrix must be developed with Israeli professionals category by category.</w:t>
            </w:r>
          </w:p>
        </w:tc>
      </w:tr>
    </w:tbl>
    <w:p>
      <w:pPr>
        <w:keepNext w:val="0"/>
        <w:widowControl/>
        <w:spacing w:before="0" w:after="40" w:line="283" w:lineRule="auto"/>
        <w:jc w:val="left"/>
      </w:pPr>
      <w:r>
        <w:rPr>
          <w:rFonts w:ascii="Arial" w:hAnsi="Arial"/>
          <w:b w:val="0"/>
          <w:i w:val="0"/>
          <w:color w:val="111827"/>
          <w:sz w:val="4"/>
        </w:rPr>
      </w:r>
    </w:p>
    <w:p>
      <w:pPr>
        <w:widowControl/>
      </w:pPr>
      <w:r>
        <w:br w:type="page"/>
      </w:r>
    </w:p>
    <w:p>
      <w:pPr>
        <w:pStyle w:val="Heading1"/>
        <w:keepNext/>
        <w:widowControl/>
      </w:pPr>
      <w:r>
        <w:t>9. MVP product scope</w:t>
      </w:r>
    </w:p>
    <w:p>
      <w:pPr>
        <w:keepNext w:val="0"/>
        <w:widowControl/>
        <w:spacing w:before="0" w:after="120" w:line="283" w:lineRule="auto"/>
        <w:jc w:val="left"/>
      </w:pPr>
      <w:r>
        <w:rPr>
          <w:rFonts w:ascii="Arial" w:hAnsi="Arial"/>
          <w:b w:val="0"/>
          <w:i w:val="0"/>
          <w:color w:val="111827"/>
          <w:sz w:val="21"/>
        </w:rPr>
        <w:t>“Everything at once” should mean that the category architecture supports the full vision. It should not mean building every advanced workflow before the market is proven.</w:t>
      </w:r>
    </w:p>
    <w:p>
      <w:pPr>
        <w:pStyle w:val="Heading2"/>
        <w:keepNext/>
        <w:widowControl/>
      </w:pPr>
      <w:r>
        <w:t>Release 1 — required</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950"/>
        <w:gridCol w:w="7410"/>
      </w:tblGrid>
      <w:tr>
        <w:trPr>
          <w:tblHeader w:val="true"/>
          <w:cantSplit/>
        </w:trPr>
        <w:tc>
          <w:tcPr>
            <w:tcW w:type="dxa" w:w="1950"/>
            <w:shd w:fill="18324A"/>
            <w:tcMar>
              <w:top w:w="110" w:type="dxa"/>
              <w:start w:w="120" w:type="dxa"/>
              <w:bottom w:w="110" w:type="dxa"/>
              <w:end w:w="120" w:type="dxa"/>
            </w:tcMar>
            <w:vAlign w:val="center"/>
          </w:tcPr>
          <w:p>
            <w:pPr>
              <w:spacing w:after="0"/>
            </w:pPr>
            <w:r>
              <w:rPr>
                <w:rFonts w:ascii="Arial" w:hAnsi="Arial"/>
                <w:b/>
                <w:i w:val="0"/>
                <w:color w:val="FFFFFF"/>
                <w:sz w:val="18"/>
              </w:rPr>
              <w:t>Module</w:t>
            </w:r>
          </w:p>
        </w:tc>
        <w:tc>
          <w:tcPr>
            <w:tcW w:type="dxa" w:w="7410"/>
            <w:shd w:fill="18324A"/>
            <w:tcMar>
              <w:top w:w="110" w:type="dxa"/>
              <w:start w:w="120" w:type="dxa"/>
              <w:bottom w:w="110" w:type="dxa"/>
              <w:end w:w="120" w:type="dxa"/>
            </w:tcMar>
            <w:vAlign w:val="center"/>
          </w:tcPr>
          <w:p>
            <w:pPr>
              <w:spacing w:after="0"/>
            </w:pPr>
            <w:r>
              <w:rPr>
                <w:rFonts w:ascii="Arial" w:hAnsi="Arial"/>
                <w:b/>
                <w:i w:val="0"/>
                <w:color w:val="FFFFFF"/>
                <w:sz w:val="18"/>
              </w:rPr>
              <w:t>Required capability</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Access</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Phone/email authentication, business onboarding, consent and role selection.</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Profiles</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business, provider business, branches, staff and verification status.</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Listings</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Category templates, media, specifications, price units, terms, operator option and status.</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Availability</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Calendar, notice period, blocked dates and request conflict handling.</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Discovery</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Keyword/category search, location, dates, price and category-specific filters.</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Requests</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Fixed-price booking request and custom quote request as separate flows.</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Messaging</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Conversation tied to listing/request; attachments; reporting and notification.</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Subscriptions</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plan, trial, external billing, status and entitlement control.</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Trust</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Document upload/review, badges with precise meaning, expiry and reporting.</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Reviews</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Post-interaction review with moderation and right of reply.</w:t>
            </w:r>
          </w:p>
        </w:tc>
      </w:tr>
      <w:tr>
        <w:trPr>
          <w:cantSplit/>
        </w:trPr>
        <w:tc>
          <w:tcPr>
            <w:tcW w:type="dxa" w:w="1950"/>
            <w:tcMar>
              <w:top w:w="100" w:type="dxa"/>
              <w:start w:w="120" w:type="dxa"/>
              <w:bottom w:w="100" w:type="dxa"/>
              <w:end w:w="120" w:type="dxa"/>
            </w:tcMar>
            <w:vAlign w:val="center"/>
          </w:tcPr>
          <w:p>
            <w:pPr>
              <w:spacing w:after="0" w:line="264" w:lineRule="auto"/>
            </w:pPr>
            <w:r>
              <w:rPr>
                <w:rFonts w:ascii="Arial" w:hAnsi="Arial"/>
                <w:b w:val="0"/>
                <w:i w:val="0"/>
                <w:color w:val="111827"/>
                <w:sz w:val="18"/>
              </w:rPr>
              <w:t>Admin</w:t>
            </w:r>
          </w:p>
        </w:tc>
        <w:tc>
          <w:tcPr>
            <w:tcW w:type="dxa" w:w="7410"/>
            <w:tcMar>
              <w:top w:w="100" w:type="dxa"/>
              <w:start w:w="120" w:type="dxa"/>
              <w:bottom w:w="100" w:type="dxa"/>
              <w:end w:w="120" w:type="dxa"/>
            </w:tcMar>
            <w:vAlign w:val="center"/>
          </w:tcPr>
          <w:p>
            <w:pPr>
              <w:spacing w:after="0" w:line="264" w:lineRule="auto"/>
            </w:pPr>
            <w:r>
              <w:rPr>
                <w:rFonts w:ascii="Arial" w:hAnsi="Arial"/>
                <w:b w:val="0"/>
                <w:i w:val="0"/>
                <w:color w:val="111827"/>
                <w:sz w:val="18"/>
              </w:rPr>
              <w:t>Approvals, categories, documents, plans, users, listings, reports and audit history.</w:t>
            </w:r>
          </w:p>
        </w:tc>
      </w:tr>
      <w:tr>
        <w:trPr>
          <w:cantSplit/>
        </w:trPr>
        <w:tc>
          <w:tcPr>
            <w:tcW w:type="dxa" w:w="19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Analytics</w:t>
            </w:r>
          </w:p>
        </w:tc>
        <w:tc>
          <w:tcPr>
            <w:tcW w:type="dxa" w:w="74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Acquisition, activation, supply, search, inquiry, response and subscription events.</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Later — do not block the pilot</w:t>
      </w:r>
    </w:p>
    <w:p>
      <w:pPr>
        <w:pStyle w:val="ListBullet"/>
        <w:widowControl/>
        <w:spacing w:after="70" w:line="281" w:lineRule="auto"/>
      </w:pPr>
      <w:r>
        <w:rPr>
          <w:rFonts w:ascii="Arial" w:hAnsi="Arial"/>
          <w:b w:val="0"/>
          <w:i w:val="0"/>
          <w:color w:val="111827"/>
          <w:sz w:val="21"/>
        </w:rPr>
        <w:t>Rental-payment escrow, deposits, claims or payout splitting.</w:t>
      </w:r>
    </w:p>
    <w:p>
      <w:pPr>
        <w:pStyle w:val="ListBullet"/>
        <w:widowControl/>
        <w:spacing w:after="70" w:line="281" w:lineRule="auto"/>
      </w:pPr>
      <w:r>
        <w:rPr>
          <w:rFonts w:ascii="Arial" w:hAnsi="Arial"/>
          <w:b w:val="0"/>
          <w:i w:val="0"/>
          <w:color w:val="111827"/>
          <w:sz w:val="21"/>
        </w:rPr>
        <w:t>Live GPS/telematics integration and automatic machine utilization.</w:t>
      </w:r>
    </w:p>
    <w:p>
      <w:pPr>
        <w:pStyle w:val="ListBullet"/>
        <w:widowControl/>
        <w:spacing w:after="70" w:line="281" w:lineRule="auto"/>
      </w:pPr>
      <w:r>
        <w:rPr>
          <w:rFonts w:ascii="Arial" w:hAnsi="Arial"/>
          <w:b w:val="0"/>
          <w:i w:val="0"/>
          <w:color w:val="111827"/>
          <w:sz w:val="21"/>
        </w:rPr>
        <w:t>Dynamic pricing and complex auction/bidding.</w:t>
      </w:r>
    </w:p>
    <w:p>
      <w:pPr>
        <w:pStyle w:val="ListBullet"/>
        <w:widowControl/>
        <w:spacing w:after="70" w:line="281" w:lineRule="auto"/>
      </w:pPr>
      <w:r>
        <w:rPr>
          <w:rFonts w:ascii="Arial" w:hAnsi="Arial"/>
          <w:b w:val="0"/>
          <w:i w:val="0"/>
          <w:color w:val="111827"/>
          <w:sz w:val="21"/>
        </w:rPr>
        <w:t>Automated insurance sales or coverage decisions.</w:t>
      </w:r>
    </w:p>
    <w:p>
      <w:pPr>
        <w:pStyle w:val="ListBullet"/>
        <w:widowControl/>
        <w:spacing w:after="70" w:line="281" w:lineRule="auto"/>
      </w:pPr>
      <w:r>
        <w:rPr>
          <w:rFonts w:ascii="Arial" w:hAnsi="Arial"/>
          <w:b w:val="0"/>
          <w:i w:val="0"/>
          <w:color w:val="111827"/>
          <w:sz w:val="21"/>
        </w:rPr>
        <w:t>Full parts checkout, warehouse stock synchronization and returns.</w:t>
      </w:r>
    </w:p>
    <w:p>
      <w:pPr>
        <w:pStyle w:val="ListBullet"/>
        <w:widowControl/>
        <w:spacing w:after="70" w:line="281" w:lineRule="auto"/>
      </w:pPr>
      <w:r>
        <w:rPr>
          <w:rFonts w:ascii="Arial" w:hAnsi="Arial"/>
          <w:b w:val="0"/>
          <w:i w:val="0"/>
          <w:color w:val="111827"/>
          <w:sz w:val="21"/>
        </w:rPr>
        <w:t>AI recommendations before enough structured usage data exists.</w:t>
      </w:r>
    </w:p>
    <w:p>
      <w:pPr>
        <w:pStyle w:val="ListBullet"/>
        <w:widowControl/>
        <w:spacing w:after="70" w:line="281" w:lineRule="auto"/>
      </w:pPr>
      <w:r>
        <w:rPr>
          <w:rFonts w:ascii="Arial" w:hAnsi="Arial"/>
          <w:b w:val="0"/>
          <w:i w:val="0"/>
          <w:color w:val="111827"/>
          <w:sz w:val="21"/>
        </w:rPr>
        <w:t>Nationwide delivery marketplace operated by the platform.</w:t>
      </w:r>
    </w:p>
    <w:p>
      <w:pPr>
        <w:pStyle w:val="Heading2"/>
        <w:keepNext/>
        <w:widowControl/>
      </w:pPr>
      <w:r>
        <w:t>Recommended product surfaces</w:t>
      </w:r>
    </w:p>
    <w:p>
      <w:pPr>
        <w:pStyle w:val="ListBullet"/>
        <w:widowControl/>
        <w:spacing w:after="70" w:line="281" w:lineRule="auto"/>
      </w:pPr>
      <w:r>
        <w:rPr>
          <w:rFonts w:ascii="Arial" w:hAnsi="Arial"/>
          <w:b w:val="0"/>
          <w:i w:val="0"/>
          <w:color w:val="111827"/>
          <w:sz w:val="21"/>
        </w:rPr>
        <w:t>One mobile application with customer and provider modes.</w:t>
      </w:r>
    </w:p>
    <w:p>
      <w:pPr>
        <w:pStyle w:val="ListBullet"/>
        <w:widowControl/>
        <w:spacing w:after="70" w:line="281" w:lineRule="auto"/>
      </w:pPr>
      <w:r>
        <w:rPr>
          <w:rFonts w:ascii="Arial" w:hAnsi="Arial"/>
          <w:b w:val="0"/>
          <w:i w:val="0"/>
          <w:color w:val="111827"/>
          <w:sz w:val="21"/>
        </w:rPr>
        <w:t>Responsive public web marketplace for discoverability and sharing.</w:t>
      </w:r>
    </w:p>
    <w:p>
      <w:pPr>
        <w:pStyle w:val="ListBullet"/>
        <w:widowControl/>
        <w:spacing w:after="70" w:line="281" w:lineRule="auto"/>
      </w:pPr>
      <w:r>
        <w:rPr>
          <w:rFonts w:ascii="Arial" w:hAnsi="Arial"/>
          <w:b w:val="0"/>
          <w:i w:val="0"/>
          <w:color w:val="111827"/>
          <w:sz w:val="21"/>
        </w:rPr>
        <w:t>Responsive web provider workspace for businesses managing many listings.</w:t>
      </w:r>
    </w:p>
    <w:p>
      <w:pPr>
        <w:pStyle w:val="ListBullet"/>
        <w:widowControl/>
        <w:spacing w:after="70" w:line="281" w:lineRule="auto"/>
      </w:pPr>
      <w:r>
        <w:rPr>
          <w:rFonts w:ascii="Arial" w:hAnsi="Arial"/>
          <w:b w:val="0"/>
          <w:i w:val="0"/>
          <w:color w:val="111827"/>
          <w:sz w:val="21"/>
        </w:rPr>
        <w:t>Separate secure web administration console.</w:t>
      </w:r>
    </w:p>
    <w:p>
      <w:pPr>
        <w:pStyle w:val="Heading1"/>
        <w:keepNext/>
        <w:widowControl/>
      </w:pPr>
      <w:r>
        <w:t>10. UX and design requirements</w:t>
      </w:r>
    </w:p>
    <w:p>
      <w:pPr>
        <w:pStyle w:val="Heading2"/>
        <w:keepNext/>
        <w:widowControl/>
      </w:pPr>
      <w:r>
        <w:t>Design principles</w:t>
      </w:r>
    </w:p>
    <w:p>
      <w:pPr>
        <w:pStyle w:val="ListBullet"/>
        <w:widowControl/>
        <w:spacing w:after="70" w:line="281" w:lineRule="auto"/>
      </w:pPr>
      <w:r>
        <w:rPr>
          <w:rFonts w:ascii="Arial" w:hAnsi="Arial"/>
          <w:b w:val="0"/>
          <w:i w:val="0"/>
          <w:color w:val="111827"/>
          <w:sz w:val="21"/>
        </w:rPr>
        <w:t>Hebrew-first and fully RTL; Arabic and English architecture from day one.</w:t>
      </w:r>
    </w:p>
    <w:p>
      <w:pPr>
        <w:pStyle w:val="ListBullet"/>
        <w:widowControl/>
        <w:spacing w:after="70" w:line="281" w:lineRule="auto"/>
      </w:pPr>
      <w:r>
        <w:rPr>
          <w:rFonts w:ascii="Arial" w:hAnsi="Arial"/>
          <w:b w:val="0"/>
          <w:i w:val="0"/>
          <w:color w:val="111827"/>
          <w:sz w:val="21"/>
        </w:rPr>
        <w:t>Search begins with “what, where and when.”</w:t>
      </w:r>
    </w:p>
    <w:p>
      <w:pPr>
        <w:pStyle w:val="ListBullet"/>
        <w:widowControl/>
        <w:spacing w:after="70" w:line="281" w:lineRule="auto"/>
      </w:pPr>
      <w:r>
        <w:rPr>
          <w:rFonts w:ascii="Arial" w:hAnsi="Arial"/>
          <w:b w:val="0"/>
          <w:i w:val="0"/>
          <w:color w:val="111827"/>
          <w:sz w:val="21"/>
        </w:rPr>
        <w:t>Fixed prices must explain what is included, not merely show a number.</w:t>
      </w:r>
    </w:p>
    <w:p>
      <w:pPr>
        <w:pStyle w:val="ListBullet"/>
        <w:widowControl/>
        <w:spacing w:after="70" w:line="281" w:lineRule="auto"/>
      </w:pPr>
      <w:r>
        <w:rPr>
          <w:rFonts w:ascii="Arial" w:hAnsi="Arial"/>
          <w:b w:val="0"/>
          <w:i w:val="0"/>
          <w:color w:val="111827"/>
          <w:sz w:val="21"/>
        </w:rPr>
        <w:t>Availability is never presented as guaranteed until the provider confirms.</w:t>
      </w:r>
    </w:p>
    <w:p>
      <w:pPr>
        <w:pStyle w:val="ListBullet"/>
        <w:widowControl/>
        <w:spacing w:after="70" w:line="281" w:lineRule="auto"/>
      </w:pPr>
      <w:r>
        <w:rPr>
          <w:rFonts w:ascii="Arial" w:hAnsi="Arial"/>
          <w:b w:val="0"/>
          <w:i w:val="0"/>
          <w:color w:val="111827"/>
          <w:sz w:val="21"/>
        </w:rPr>
        <w:t>Verification badges use plain language: what was checked and when.</w:t>
      </w:r>
    </w:p>
    <w:p>
      <w:pPr>
        <w:pStyle w:val="ListBullet"/>
        <w:widowControl/>
        <w:spacing w:after="70" w:line="281" w:lineRule="auto"/>
      </w:pPr>
      <w:r>
        <w:rPr>
          <w:rFonts w:ascii="Arial" w:hAnsi="Arial"/>
          <w:b w:val="0"/>
          <w:i w:val="0"/>
          <w:color w:val="111827"/>
          <w:sz w:val="21"/>
        </w:rPr>
        <w:t>Large touch targets, strong contrast, scalable type and accessible form labels.</w:t>
      </w:r>
    </w:p>
    <w:p>
      <w:pPr>
        <w:pStyle w:val="ListBullet"/>
        <w:widowControl/>
        <w:spacing w:after="70" w:line="281" w:lineRule="auto"/>
      </w:pPr>
      <w:r>
        <w:rPr>
          <w:rFonts w:ascii="Arial" w:hAnsi="Arial"/>
          <w:b w:val="0"/>
          <w:i w:val="0"/>
          <w:color w:val="111827"/>
          <w:sz w:val="21"/>
        </w:rPr>
        <w:t>Urgent construction workflows require fast loading, saved data and clear retry/error states.</w:t>
      </w:r>
    </w:p>
    <w:p>
      <w:pPr>
        <w:pStyle w:val="ListBullet"/>
        <w:widowControl/>
        <w:spacing w:after="70" w:line="281" w:lineRule="auto"/>
      </w:pPr>
      <w:r>
        <w:rPr>
          <w:rFonts w:ascii="Arial" w:hAnsi="Arial"/>
          <w:b w:val="0"/>
          <w:i w:val="0"/>
          <w:color w:val="111827"/>
          <w:sz w:val="21"/>
        </w:rPr>
        <w:t>The app must work for users with mixed technical confidence and on-site conditions.</w:t>
      </w:r>
    </w:p>
    <w:p>
      <w:pPr>
        <w:pStyle w:val="Heading2"/>
        <w:keepNext/>
        <w:widowControl/>
      </w:pPr>
      <w:r>
        <w:t>Design deliverables</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250"/>
        <w:gridCol w:w="7110"/>
      </w:tblGrid>
      <w:tr>
        <w:trPr>
          <w:tblHeader w:val="true"/>
          <w:cantSplit/>
        </w:trPr>
        <w:tc>
          <w:tcPr>
            <w:tcW w:type="dxa" w:w="2250"/>
            <w:shd w:fill="18324A"/>
            <w:tcMar>
              <w:top w:w="110" w:type="dxa"/>
              <w:start w:w="120" w:type="dxa"/>
              <w:bottom w:w="110" w:type="dxa"/>
              <w:end w:w="120" w:type="dxa"/>
            </w:tcMar>
            <w:vAlign w:val="center"/>
          </w:tcPr>
          <w:p>
            <w:pPr>
              <w:spacing w:after="0"/>
            </w:pPr>
            <w:r>
              <w:rPr>
                <w:rFonts w:ascii="Arial" w:hAnsi="Arial"/>
                <w:b/>
                <w:i w:val="0"/>
                <w:color w:val="FFFFFF"/>
                <w:sz w:val="18"/>
              </w:rPr>
              <w:t>Deliverable</w:t>
            </w:r>
          </w:p>
        </w:tc>
        <w:tc>
          <w:tcPr>
            <w:tcW w:type="dxa" w:w="7110"/>
            <w:shd w:fill="18324A"/>
            <w:tcMar>
              <w:top w:w="110" w:type="dxa"/>
              <w:start w:w="120" w:type="dxa"/>
              <w:bottom w:w="110" w:type="dxa"/>
              <w:end w:w="120" w:type="dxa"/>
            </w:tcMar>
            <w:vAlign w:val="center"/>
          </w:tcPr>
          <w:p>
            <w:pPr>
              <w:spacing w:after="0"/>
            </w:pPr>
            <w:r>
              <w:rPr>
                <w:rFonts w:ascii="Arial" w:hAnsi="Arial"/>
                <w:b/>
                <w:i w:val="0"/>
                <w:color w:val="FFFFFF"/>
                <w:sz w:val="18"/>
              </w:rPr>
              <w:t>Definition of done</w:t>
            </w:r>
          </w:p>
        </w:tc>
      </w:tr>
      <w:tr>
        <w:trPr>
          <w:cantSplit/>
        </w:trPr>
        <w:tc>
          <w:tcPr>
            <w:tcW w:type="dxa" w:w="2250"/>
            <w:tcMar>
              <w:top w:w="100" w:type="dxa"/>
              <w:start w:w="120" w:type="dxa"/>
              <w:bottom w:w="100" w:type="dxa"/>
              <w:end w:w="120" w:type="dxa"/>
            </w:tcMar>
            <w:vAlign w:val="center"/>
          </w:tcPr>
          <w:p>
            <w:pPr>
              <w:spacing w:after="0" w:line="264" w:lineRule="auto"/>
            </w:pPr>
            <w:r>
              <w:rPr>
                <w:rFonts w:ascii="Arial" w:hAnsi="Arial"/>
                <w:b w:val="0"/>
                <w:i w:val="0"/>
                <w:color w:val="111827"/>
                <w:sz w:val="18"/>
              </w:rPr>
              <w:t>Information architecture</w:t>
            </w:r>
          </w:p>
        </w:tc>
        <w:tc>
          <w:tcPr>
            <w:tcW w:type="dxa" w:w="7110"/>
            <w:tcMar>
              <w:top w:w="100" w:type="dxa"/>
              <w:start w:w="120" w:type="dxa"/>
              <w:bottom w:w="100" w:type="dxa"/>
              <w:end w:w="120" w:type="dxa"/>
            </w:tcMar>
            <w:vAlign w:val="center"/>
          </w:tcPr>
          <w:p>
            <w:pPr>
              <w:spacing w:after="0" w:line="264" w:lineRule="auto"/>
            </w:pPr>
            <w:r>
              <w:rPr>
                <w:rFonts w:ascii="Arial" w:hAnsi="Arial"/>
                <w:b w:val="0"/>
                <w:i w:val="0"/>
                <w:color w:val="111827"/>
                <w:sz w:val="18"/>
              </w:rPr>
              <w:t>Navigation, category tree, filters, account structure and admin sections.</w:t>
            </w:r>
          </w:p>
        </w:tc>
      </w:tr>
      <w:tr>
        <w:trPr>
          <w:cantSplit/>
        </w:trPr>
        <w:tc>
          <w:tcPr>
            <w:tcW w:type="dxa" w:w="22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User flows</w:t>
            </w:r>
          </w:p>
        </w:tc>
        <w:tc>
          <w:tcPr>
            <w:tcW w:type="dxa" w:w="71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Onboarding, listing, search, fixed-price request, quote, messaging, subscription, review and moderation.</w:t>
            </w:r>
          </w:p>
        </w:tc>
      </w:tr>
      <w:tr>
        <w:trPr>
          <w:cantSplit/>
        </w:trPr>
        <w:tc>
          <w:tcPr>
            <w:tcW w:type="dxa" w:w="2250"/>
            <w:tcMar>
              <w:top w:w="100" w:type="dxa"/>
              <w:start w:w="120" w:type="dxa"/>
              <w:bottom w:w="100" w:type="dxa"/>
              <w:end w:w="120" w:type="dxa"/>
            </w:tcMar>
            <w:vAlign w:val="center"/>
          </w:tcPr>
          <w:p>
            <w:pPr>
              <w:spacing w:after="0" w:line="264" w:lineRule="auto"/>
            </w:pPr>
            <w:r>
              <w:rPr>
                <w:rFonts w:ascii="Arial" w:hAnsi="Arial"/>
                <w:b w:val="0"/>
                <w:i w:val="0"/>
                <w:color w:val="111827"/>
                <w:sz w:val="18"/>
              </w:rPr>
              <w:t>Wireframes</w:t>
            </w:r>
          </w:p>
        </w:tc>
        <w:tc>
          <w:tcPr>
            <w:tcW w:type="dxa" w:w="7110"/>
            <w:tcMar>
              <w:top w:w="100" w:type="dxa"/>
              <w:start w:w="120" w:type="dxa"/>
              <w:bottom w:w="100" w:type="dxa"/>
              <w:end w:w="120" w:type="dxa"/>
            </w:tcMar>
            <w:vAlign w:val="center"/>
          </w:tcPr>
          <w:p>
            <w:pPr>
              <w:spacing w:after="0" w:line="264" w:lineRule="auto"/>
            </w:pPr>
            <w:r>
              <w:rPr>
                <w:rFonts w:ascii="Arial" w:hAnsi="Arial"/>
                <w:b w:val="0"/>
                <w:i w:val="0"/>
                <w:color w:val="111827"/>
                <w:sz w:val="18"/>
              </w:rPr>
              <w:t>All primary screens plus loading, empty, error, expired, rejected and suspended states.</w:t>
            </w:r>
          </w:p>
        </w:tc>
      </w:tr>
      <w:tr>
        <w:trPr>
          <w:cantSplit/>
        </w:trPr>
        <w:tc>
          <w:tcPr>
            <w:tcW w:type="dxa" w:w="22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Design system</w:t>
            </w:r>
          </w:p>
        </w:tc>
        <w:tc>
          <w:tcPr>
            <w:tcW w:type="dxa" w:w="71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RTL-ready tokens, typography, color, spacing, icons, components and accessibility states.</w:t>
            </w:r>
          </w:p>
        </w:tc>
      </w:tr>
      <w:tr>
        <w:trPr>
          <w:cantSplit/>
        </w:trPr>
        <w:tc>
          <w:tcPr>
            <w:tcW w:type="dxa" w:w="2250"/>
            <w:tcMar>
              <w:top w:w="100" w:type="dxa"/>
              <w:start w:w="120" w:type="dxa"/>
              <w:bottom w:w="100" w:type="dxa"/>
              <w:end w:w="120" w:type="dxa"/>
            </w:tcMar>
            <w:vAlign w:val="center"/>
          </w:tcPr>
          <w:p>
            <w:pPr>
              <w:spacing w:after="0" w:line="264" w:lineRule="auto"/>
            </w:pPr>
            <w:r>
              <w:rPr>
                <w:rFonts w:ascii="Arial" w:hAnsi="Arial"/>
                <w:b w:val="0"/>
                <w:i w:val="0"/>
                <w:color w:val="111827"/>
                <w:sz w:val="18"/>
              </w:rPr>
              <w:t>High-fidelity UI</w:t>
            </w:r>
          </w:p>
        </w:tc>
        <w:tc>
          <w:tcPr>
            <w:tcW w:type="dxa" w:w="7110"/>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provider and admin priority flows in responsive layouts.</w:t>
            </w:r>
          </w:p>
        </w:tc>
      </w:tr>
      <w:tr>
        <w:trPr>
          <w:cantSplit/>
        </w:trPr>
        <w:tc>
          <w:tcPr>
            <w:tcW w:type="dxa" w:w="22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Prototype</w:t>
            </w:r>
          </w:p>
        </w:tc>
        <w:tc>
          <w:tcPr>
            <w:tcW w:type="dxa" w:w="711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Clickable end-to-end customer request and provider response flows.</w:t>
            </w:r>
          </w:p>
        </w:tc>
      </w:tr>
      <w:tr>
        <w:trPr>
          <w:cantSplit/>
        </w:trPr>
        <w:tc>
          <w:tcPr>
            <w:tcW w:type="dxa" w:w="2250"/>
            <w:tcMar>
              <w:top w:w="100" w:type="dxa"/>
              <w:start w:w="120" w:type="dxa"/>
              <w:bottom w:w="100" w:type="dxa"/>
              <w:end w:w="120" w:type="dxa"/>
            </w:tcMar>
            <w:vAlign w:val="center"/>
          </w:tcPr>
          <w:p>
            <w:pPr>
              <w:spacing w:after="0" w:line="264" w:lineRule="auto"/>
            </w:pPr>
            <w:r>
              <w:rPr>
                <w:rFonts w:ascii="Arial" w:hAnsi="Arial"/>
                <w:b w:val="0"/>
                <w:i w:val="0"/>
                <w:color w:val="111827"/>
                <w:sz w:val="18"/>
              </w:rPr>
              <w:t>Handoff</w:t>
            </w:r>
          </w:p>
        </w:tc>
        <w:tc>
          <w:tcPr>
            <w:tcW w:type="dxa" w:w="7110"/>
            <w:tcMar>
              <w:top w:w="100" w:type="dxa"/>
              <w:start w:w="120" w:type="dxa"/>
              <w:bottom w:w="100" w:type="dxa"/>
              <w:end w:w="120" w:type="dxa"/>
            </w:tcMar>
            <w:vAlign w:val="center"/>
          </w:tcPr>
          <w:p>
            <w:pPr>
              <w:spacing w:after="0" w:line="264" w:lineRule="auto"/>
            </w:pPr>
            <w:r>
              <w:rPr>
                <w:rFonts w:ascii="Arial" w:hAnsi="Arial"/>
                <w:b w:val="0"/>
                <w:i w:val="0"/>
                <w:color w:val="111827"/>
                <w:sz w:val="18"/>
              </w:rPr>
              <w:t>Specs, component behavior, content rules, validation, analytics events and acceptance criteria.</w:t>
            </w:r>
          </w:p>
        </w:tc>
      </w:tr>
    </w:tbl>
    <w:p>
      <w:pPr>
        <w:keepNext w:val="0"/>
        <w:widowControl/>
        <w:spacing w:before="0" w:after="40" w:line="283" w:lineRule="auto"/>
        <w:jc w:val="left"/>
      </w:pPr>
      <w:r>
        <w:rPr>
          <w:rFonts w:ascii="Arial" w:hAnsi="Arial"/>
          <w:b w:val="0"/>
          <w:i w:val="0"/>
          <w:color w:val="111827"/>
          <w:sz w:val="4"/>
        </w:rPr>
      </w:r>
    </w:p>
    <w:p>
      <w:pPr>
        <w:widowControl/>
      </w:pPr>
      <w:r>
        <w:br w:type="page"/>
      </w:r>
    </w:p>
    <w:p>
      <w:pPr>
        <w:pStyle w:val="Heading1"/>
        <w:keepNext/>
        <w:widowControl/>
      </w:pPr>
      <w:r>
        <w:t>11. Technology, data and security</w:t>
      </w:r>
    </w:p>
    <w:p>
      <w:pPr>
        <w:keepNext w:val="0"/>
        <w:widowControl/>
        <w:spacing w:before="0" w:after="120" w:line="283" w:lineRule="auto"/>
        <w:jc w:val="left"/>
      </w:pPr>
      <w:r>
        <w:rPr>
          <w:rFonts w:ascii="Arial" w:hAnsi="Arial"/>
          <w:b w:val="0"/>
          <w:i w:val="0"/>
          <w:color w:val="111827"/>
          <w:sz w:val="21"/>
        </w:rPr>
        <w:t>The development team should select the stack after requirements and non-functional constraints are agreed. The architecture must preserve auditability, access control and future multilingual scale.</w:t>
      </w:r>
    </w:p>
    <w:p>
      <w:pPr>
        <w:pStyle w:val="Heading2"/>
        <w:keepNext/>
        <w:widowControl/>
      </w:pPr>
      <w:r>
        <w:t>Architecture capabilities</w:t>
      </w:r>
    </w:p>
    <w:p>
      <w:pPr>
        <w:pStyle w:val="ListBullet"/>
        <w:widowControl/>
        <w:spacing w:after="70" w:line="281" w:lineRule="auto"/>
      </w:pPr>
      <w:r>
        <w:rPr>
          <w:rFonts w:ascii="Arial" w:hAnsi="Arial"/>
          <w:b w:val="0"/>
          <w:i w:val="0"/>
          <w:color w:val="111827"/>
          <w:sz w:val="21"/>
        </w:rPr>
        <w:t>Role-based identity and permissions for multi-user businesses.</w:t>
      </w:r>
    </w:p>
    <w:p>
      <w:pPr>
        <w:pStyle w:val="ListBullet"/>
        <w:widowControl/>
        <w:spacing w:after="70" w:line="281" w:lineRule="auto"/>
      </w:pPr>
      <w:r>
        <w:rPr>
          <w:rFonts w:ascii="Arial" w:hAnsi="Arial"/>
          <w:b w:val="0"/>
          <w:i w:val="0"/>
          <w:color w:val="111827"/>
          <w:sz w:val="21"/>
        </w:rPr>
        <w:t>Structured category schema capable of different fields and filters.</w:t>
      </w:r>
    </w:p>
    <w:p>
      <w:pPr>
        <w:pStyle w:val="ListBullet"/>
        <w:widowControl/>
        <w:spacing w:after="70" w:line="281" w:lineRule="auto"/>
      </w:pPr>
      <w:r>
        <w:rPr>
          <w:rFonts w:ascii="Arial" w:hAnsi="Arial"/>
          <w:b w:val="0"/>
          <w:i w:val="0"/>
          <w:color w:val="111827"/>
          <w:sz w:val="21"/>
        </w:rPr>
        <w:t>Geospatial search and service-area logic.</w:t>
      </w:r>
    </w:p>
    <w:p>
      <w:pPr>
        <w:pStyle w:val="ListBullet"/>
        <w:widowControl/>
        <w:spacing w:after="70" w:line="281" w:lineRule="auto"/>
      </w:pPr>
      <w:r>
        <w:rPr>
          <w:rFonts w:ascii="Arial" w:hAnsi="Arial"/>
          <w:b w:val="0"/>
          <w:i w:val="0"/>
          <w:color w:val="111827"/>
          <w:sz w:val="21"/>
        </w:rPr>
        <w:t>Availability and conflict engine with time zone and calendar rules.</w:t>
      </w:r>
    </w:p>
    <w:p>
      <w:pPr>
        <w:pStyle w:val="ListBullet"/>
        <w:widowControl/>
        <w:spacing w:after="70" w:line="281" w:lineRule="auto"/>
      </w:pPr>
      <w:r>
        <w:rPr>
          <w:rFonts w:ascii="Arial" w:hAnsi="Arial"/>
          <w:b w:val="0"/>
          <w:i w:val="0"/>
          <w:color w:val="111827"/>
          <w:sz w:val="21"/>
        </w:rPr>
        <w:t>Search index for Hebrew, Arabic and English terms/synonyms.</w:t>
      </w:r>
    </w:p>
    <w:p>
      <w:pPr>
        <w:pStyle w:val="ListBullet"/>
        <w:widowControl/>
        <w:spacing w:after="70" w:line="281" w:lineRule="auto"/>
      </w:pPr>
      <w:r>
        <w:rPr>
          <w:rFonts w:ascii="Arial" w:hAnsi="Arial"/>
          <w:b w:val="0"/>
          <w:i w:val="0"/>
          <w:color w:val="111827"/>
          <w:sz w:val="21"/>
        </w:rPr>
        <w:t>Messaging and notification service with abuse controls.</w:t>
      </w:r>
    </w:p>
    <w:p>
      <w:pPr>
        <w:pStyle w:val="ListBullet"/>
        <w:widowControl/>
        <w:spacing w:after="70" w:line="281" w:lineRule="auto"/>
      </w:pPr>
      <w:r>
        <w:rPr>
          <w:rFonts w:ascii="Arial" w:hAnsi="Arial"/>
          <w:b w:val="0"/>
          <w:i w:val="0"/>
          <w:color w:val="111827"/>
          <w:sz w:val="21"/>
        </w:rPr>
        <w:t>Subscription entitlement and external billing integration.</w:t>
      </w:r>
    </w:p>
    <w:p>
      <w:pPr>
        <w:pStyle w:val="ListBullet"/>
        <w:widowControl/>
        <w:spacing w:after="70" w:line="281" w:lineRule="auto"/>
      </w:pPr>
      <w:r>
        <w:rPr>
          <w:rFonts w:ascii="Arial" w:hAnsi="Arial"/>
          <w:b w:val="0"/>
          <w:i w:val="0"/>
          <w:color w:val="111827"/>
          <w:sz w:val="21"/>
        </w:rPr>
        <w:t>Document storage with access restrictions, expiry and review history.</w:t>
      </w:r>
    </w:p>
    <w:p>
      <w:pPr>
        <w:pStyle w:val="ListBullet"/>
        <w:widowControl/>
        <w:spacing w:after="70" w:line="281" w:lineRule="auto"/>
      </w:pPr>
      <w:r>
        <w:rPr>
          <w:rFonts w:ascii="Arial" w:hAnsi="Arial"/>
          <w:b w:val="0"/>
          <w:i w:val="0"/>
          <w:color w:val="111827"/>
          <w:sz w:val="21"/>
        </w:rPr>
        <w:t>Admin configuration so categories, fields and policies do not require a code release.</w:t>
      </w:r>
    </w:p>
    <w:p>
      <w:pPr>
        <w:pStyle w:val="ListBullet"/>
        <w:widowControl/>
        <w:spacing w:after="70" w:line="281" w:lineRule="auto"/>
      </w:pPr>
      <w:r>
        <w:rPr>
          <w:rFonts w:ascii="Arial" w:hAnsi="Arial"/>
          <w:b w:val="0"/>
          <w:i w:val="0"/>
          <w:color w:val="111827"/>
          <w:sz w:val="21"/>
        </w:rPr>
        <w:t>Event analytics, audit logs, monitoring, backups and recovery procedures.</w:t>
      </w:r>
    </w:p>
    <w:p>
      <w:pPr>
        <w:pStyle w:val="Heading2"/>
        <w:keepNext/>
        <w:widowControl/>
      </w:pPr>
      <w:r>
        <w:t>Minimum security baseline</w:t>
      </w:r>
    </w:p>
    <w:p>
      <w:pPr>
        <w:pStyle w:val="ListBullet"/>
        <w:widowControl/>
        <w:spacing w:after="70" w:line="281" w:lineRule="auto"/>
      </w:pPr>
      <w:r>
        <w:rPr>
          <w:rFonts w:ascii="Arial" w:hAnsi="Arial"/>
          <w:b w:val="0"/>
          <w:i w:val="0"/>
          <w:color w:val="111827"/>
          <w:sz w:val="21"/>
        </w:rPr>
        <w:t>MFA for administrators; strong authentication and session controls.</w:t>
      </w:r>
    </w:p>
    <w:p>
      <w:pPr>
        <w:pStyle w:val="ListBullet"/>
        <w:widowControl/>
        <w:spacing w:after="70" w:line="281" w:lineRule="auto"/>
      </w:pPr>
      <w:r>
        <w:rPr>
          <w:rFonts w:ascii="Arial" w:hAnsi="Arial"/>
          <w:b w:val="0"/>
          <w:i w:val="0"/>
          <w:color w:val="111827"/>
          <w:sz w:val="21"/>
        </w:rPr>
        <w:t>Least-privilege access for staff and providers.</w:t>
      </w:r>
    </w:p>
    <w:p>
      <w:pPr>
        <w:pStyle w:val="ListBullet"/>
        <w:widowControl/>
        <w:spacing w:after="70" w:line="281" w:lineRule="auto"/>
      </w:pPr>
      <w:r>
        <w:rPr>
          <w:rFonts w:ascii="Arial" w:hAnsi="Arial"/>
          <w:b w:val="0"/>
          <w:i w:val="0"/>
          <w:color w:val="111827"/>
          <w:sz w:val="21"/>
        </w:rPr>
        <w:t>Encryption in transit and at rest; secrets management.</w:t>
      </w:r>
    </w:p>
    <w:p>
      <w:pPr>
        <w:pStyle w:val="ListBullet"/>
        <w:widowControl/>
        <w:spacing w:after="70" w:line="281" w:lineRule="auto"/>
      </w:pPr>
      <w:r>
        <w:rPr>
          <w:rFonts w:ascii="Arial" w:hAnsi="Arial"/>
          <w:b w:val="0"/>
          <w:i w:val="0"/>
          <w:color w:val="111827"/>
          <w:sz w:val="21"/>
        </w:rPr>
        <w:t>Secure file upload validation and malware scanning.</w:t>
      </w:r>
    </w:p>
    <w:p>
      <w:pPr>
        <w:pStyle w:val="ListBullet"/>
        <w:widowControl/>
        <w:spacing w:after="70" w:line="281" w:lineRule="auto"/>
      </w:pPr>
      <w:r>
        <w:rPr>
          <w:rFonts w:ascii="Arial" w:hAnsi="Arial"/>
          <w:b w:val="0"/>
          <w:i w:val="0"/>
          <w:color w:val="111827"/>
          <w:sz w:val="21"/>
        </w:rPr>
        <w:t>Rate limits, bot/fraud monitoring and abuse reporting.</w:t>
      </w:r>
    </w:p>
    <w:p>
      <w:pPr>
        <w:pStyle w:val="ListBullet"/>
        <w:widowControl/>
        <w:spacing w:after="70" w:line="281" w:lineRule="auto"/>
      </w:pPr>
      <w:r>
        <w:rPr>
          <w:rFonts w:ascii="Arial" w:hAnsi="Arial"/>
          <w:b w:val="0"/>
          <w:i w:val="0"/>
          <w:color w:val="111827"/>
          <w:sz w:val="21"/>
        </w:rPr>
        <w:t>Documented retention, deletion, backup and incident-response procedures.</w:t>
      </w:r>
    </w:p>
    <w:p>
      <w:pPr>
        <w:pStyle w:val="ListBullet"/>
        <w:widowControl/>
        <w:spacing w:after="70" w:line="281" w:lineRule="auto"/>
      </w:pPr>
      <w:r>
        <w:rPr>
          <w:rFonts w:ascii="Arial" w:hAnsi="Arial"/>
          <w:b w:val="0"/>
          <w:i w:val="0"/>
          <w:color w:val="111827"/>
          <w:sz w:val="21"/>
        </w:rPr>
        <w:t>No sensitive identity or license documents exposed publicly.</w:t>
      </w:r>
    </w:p>
    <w:p>
      <w:pPr>
        <w:pStyle w:val="ListBullet"/>
        <w:widowControl/>
        <w:spacing w:after="70" w:line="281" w:lineRule="auto"/>
      </w:pPr>
      <w:r>
        <w:rPr>
          <w:rFonts w:ascii="Arial" w:hAnsi="Arial"/>
          <w:b w:val="0"/>
          <w:i w:val="0"/>
          <w:color w:val="111827"/>
          <w:sz w:val="21"/>
        </w:rPr>
        <w:t>Security review before launch and remediation ownership.</w:t>
      </w:r>
    </w:p>
    <w:p>
      <w:pPr>
        <w:pStyle w:val="Heading2"/>
        <w:keepNext/>
        <w:widowControl/>
      </w:pPr>
      <w:r>
        <w:t>Core data objects</w:t>
      </w:r>
    </w:p>
    <w:p>
      <w:pPr>
        <w:keepNext w:val="0"/>
        <w:widowControl/>
        <w:spacing w:before="0" w:after="120" w:line="283" w:lineRule="auto"/>
        <w:jc w:val="left"/>
      </w:pPr>
      <w:r>
        <w:rPr>
          <w:rFonts w:ascii="Arial" w:hAnsi="Arial"/>
          <w:b w:val="0"/>
          <w:i w:val="0"/>
          <w:color w:val="111827"/>
          <w:sz w:val="21"/>
        </w:rPr>
        <w:t>Business • user • role • branch • provider profile • equipment asset • service listing • part listing • price rule • service area • availability block • request • quote • conversation • attachment • subscription • verification document • report • review • notification • audit event.</w:t>
      </w:r>
    </w:p>
    <w:p>
      <w:pPr>
        <w:widowControl/>
      </w:pPr>
      <w:r>
        <w:br w:type="page"/>
      </w:r>
    </w:p>
    <w:p>
      <w:pPr>
        <w:pStyle w:val="Heading1"/>
        <w:keepNext/>
        <w:widowControl/>
      </w:pPr>
      <w:r>
        <w:t>12. Operations and customer support</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2500"/>
        <w:gridCol w:w="6860"/>
      </w:tblGrid>
      <w:tr>
        <w:trPr>
          <w:tblHeader w:val="true"/>
          <w:cantSplit/>
        </w:trPr>
        <w:tc>
          <w:tcPr>
            <w:tcW w:type="dxa" w:w="2500"/>
            <w:shd w:fill="18324A"/>
            <w:tcMar>
              <w:top w:w="110" w:type="dxa"/>
              <w:start w:w="120" w:type="dxa"/>
              <w:bottom w:w="110" w:type="dxa"/>
              <w:end w:w="120" w:type="dxa"/>
            </w:tcMar>
            <w:vAlign w:val="center"/>
          </w:tcPr>
          <w:p>
            <w:pPr>
              <w:spacing w:after="0"/>
            </w:pPr>
            <w:r>
              <w:rPr>
                <w:rFonts w:ascii="Arial" w:hAnsi="Arial"/>
                <w:b/>
                <w:i w:val="0"/>
                <w:color w:val="FFFFFF"/>
                <w:sz w:val="18"/>
              </w:rPr>
              <w:t>Operational process</w:t>
            </w:r>
          </w:p>
        </w:tc>
        <w:tc>
          <w:tcPr>
            <w:tcW w:type="dxa" w:w="6860"/>
            <w:shd w:fill="18324A"/>
            <w:tcMar>
              <w:top w:w="110" w:type="dxa"/>
              <w:start w:w="120" w:type="dxa"/>
              <w:bottom w:w="110" w:type="dxa"/>
              <w:end w:w="120" w:type="dxa"/>
            </w:tcMar>
            <w:vAlign w:val="center"/>
          </w:tcPr>
          <w:p>
            <w:pPr>
              <w:spacing w:after="0"/>
            </w:pPr>
            <w:r>
              <w:rPr>
                <w:rFonts w:ascii="Arial" w:hAnsi="Arial"/>
                <w:b/>
                <w:i w:val="0"/>
                <w:color w:val="FFFFFF"/>
                <w:sz w:val="18"/>
              </w:rPr>
              <w:t>Owner and required tool</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onboarding</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Operations: checklist, document review, listing quality and activation.</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Listing moderation</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Operations: duplicate/quality/safety review and rejection reasons.</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Document expiry</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Automated reminders plus operations review and restriction rules.</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support</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Ticket categories, response times, escalation and conversation history.</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Safety/incident report</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Priority escalation, evidence preservation and emergency guidance.</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Disputes</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Platform intake and moderation only within defined limits; parties resolve commercial liability.</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Subscription support</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Billing status, invoices, cancellation, refund policy and failed payment handling.</w:t>
            </w:r>
          </w:p>
        </w:tc>
      </w:tr>
      <w:tr>
        <w:trPr>
          <w:cantSplit/>
        </w:trPr>
        <w:tc>
          <w:tcPr>
            <w:tcW w:type="dxa" w:w="25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performance</w:t>
            </w:r>
          </w:p>
        </w:tc>
        <w:tc>
          <w:tcPr>
            <w:tcW w:type="dxa" w:w="68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Response time, cancellations, reports, stale calendar and quality intervention.</w:t>
            </w:r>
          </w:p>
        </w:tc>
      </w:tr>
      <w:tr>
        <w:trPr>
          <w:cantSplit/>
        </w:trPr>
        <w:tc>
          <w:tcPr>
            <w:tcW w:type="dxa" w:w="2500"/>
            <w:tcMar>
              <w:top w:w="100" w:type="dxa"/>
              <w:start w:w="120" w:type="dxa"/>
              <w:bottom w:w="100" w:type="dxa"/>
              <w:end w:w="120" w:type="dxa"/>
            </w:tcMar>
            <w:vAlign w:val="center"/>
          </w:tcPr>
          <w:p>
            <w:pPr>
              <w:spacing w:after="0" w:line="264" w:lineRule="auto"/>
            </w:pPr>
            <w:r>
              <w:rPr>
                <w:rFonts w:ascii="Arial" w:hAnsi="Arial"/>
                <w:b w:val="0"/>
                <w:i w:val="0"/>
                <w:color w:val="111827"/>
                <w:sz w:val="18"/>
              </w:rPr>
              <w:t>Content/localization</w:t>
            </w:r>
          </w:p>
        </w:tc>
        <w:tc>
          <w:tcPr>
            <w:tcW w:type="dxa" w:w="6860"/>
            <w:tcMar>
              <w:top w:w="100" w:type="dxa"/>
              <w:start w:w="120" w:type="dxa"/>
              <w:bottom w:w="100" w:type="dxa"/>
              <w:end w:w="120" w:type="dxa"/>
            </w:tcMar>
            <w:vAlign w:val="center"/>
          </w:tcPr>
          <w:p>
            <w:pPr>
              <w:spacing w:after="0" w:line="264" w:lineRule="auto"/>
            </w:pPr>
            <w:r>
              <w:rPr>
                <w:rFonts w:ascii="Arial" w:hAnsi="Arial"/>
                <w:b w:val="0"/>
                <w:i w:val="0"/>
                <w:color w:val="111827"/>
                <w:sz w:val="18"/>
              </w:rPr>
              <w:t>Hebrew master copy, Arabic/English review and terminology governance.</w:t>
            </w:r>
          </w:p>
        </w:tc>
      </w:tr>
    </w:tbl>
    <w:p>
      <w:pPr>
        <w:keepNext w:val="0"/>
        <w:widowControl/>
        <w:spacing w:before="0" w:after="40" w:line="283" w:lineRule="auto"/>
        <w:jc w:val="left"/>
      </w:pPr>
      <w:r>
        <w:rPr>
          <w:rFonts w:ascii="Arial" w:hAnsi="Arial"/>
          <w:b w:val="0"/>
          <w:i w:val="0"/>
          <w:color w:val="111827"/>
          <w:sz w:val="4"/>
        </w:rPr>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OPERATIONAL TRUTH</w:t>
            </w:r>
          </w:p>
          <w:p>
            <w:pPr>
              <w:spacing w:before="0" w:after="0" w:line="278" w:lineRule="auto"/>
            </w:pPr>
            <w:r>
              <w:rPr>
                <w:rFonts w:ascii="Arial" w:hAnsi="Arial"/>
                <w:b w:val="0"/>
                <w:i w:val="0"/>
                <w:color w:val="111827"/>
                <w:sz w:val="21"/>
              </w:rPr>
              <w:t>A marketplace is not only software. If no one owns onboarding, listing quality, stale calendars, reports and support, the experience will collapse even if the interface is excellent.</w:t>
            </w:r>
          </w:p>
        </w:tc>
      </w:tr>
    </w:tbl>
    <w:p>
      <w:pPr>
        <w:keepNext w:val="0"/>
        <w:widowControl/>
        <w:spacing w:before="0" w:after="40" w:line="283" w:lineRule="auto"/>
        <w:jc w:val="left"/>
      </w:pPr>
      <w:r>
        <w:rPr>
          <w:rFonts w:ascii="Arial" w:hAnsi="Arial"/>
          <w:b w:val="0"/>
          <w:i w:val="0"/>
          <w:color w:val="111827"/>
          <w:sz w:val="4"/>
        </w:rPr>
      </w:r>
    </w:p>
    <w:p>
      <w:pPr>
        <w:widowControl/>
      </w:pPr>
      <w:r>
        <w:br w:type="page"/>
      </w:r>
    </w:p>
    <w:p>
      <w:pPr>
        <w:pStyle w:val="Heading1"/>
        <w:keepNext/>
        <w:widowControl/>
      </w:pPr>
      <w:r>
        <w:t>13. Go-to-market and marketplace liquidity</w:t>
      </w:r>
    </w:p>
    <w:p>
      <w:pPr>
        <w:keepNext w:val="0"/>
        <w:widowControl/>
        <w:spacing w:before="0" w:after="120" w:line="283" w:lineRule="auto"/>
        <w:jc w:val="left"/>
      </w:pPr>
      <w:r>
        <w:rPr>
          <w:rFonts w:ascii="Arial" w:hAnsi="Arial"/>
          <w:b w:val="0"/>
          <w:i w:val="0"/>
          <w:color w:val="111827"/>
          <w:sz w:val="21"/>
        </w:rPr>
        <w:t>The launch goal is not downloads. It is enough relevant supply and demand in the same category, area and time window for customers to receive useful results.</w:t>
      </w:r>
    </w:p>
    <w:p>
      <w:pPr>
        <w:pStyle w:val="Heading2"/>
        <w:keepNext/>
        <w:widowControl/>
      </w:pPr>
      <w:r>
        <w:t>Supply launch</w:t>
      </w:r>
    </w:p>
    <w:p>
      <w:pPr>
        <w:pStyle w:val="ListBullet"/>
        <w:widowControl/>
        <w:spacing w:after="70" w:line="281" w:lineRule="auto"/>
      </w:pPr>
      <w:r>
        <w:rPr>
          <w:rFonts w:ascii="Arial" w:hAnsi="Arial"/>
          <w:b w:val="0"/>
          <w:i w:val="0"/>
          <w:color w:val="111827"/>
          <w:sz w:val="21"/>
        </w:rPr>
        <w:t>Recruit founding providers through the partners’ existing relationships.</w:t>
      </w:r>
    </w:p>
    <w:p>
      <w:pPr>
        <w:pStyle w:val="ListBullet"/>
        <w:widowControl/>
        <w:spacing w:after="70" w:line="281" w:lineRule="auto"/>
      </w:pPr>
      <w:r>
        <w:rPr>
          <w:rFonts w:ascii="Arial" w:hAnsi="Arial"/>
          <w:b w:val="0"/>
          <w:i w:val="0"/>
          <w:color w:val="111827"/>
          <w:sz w:val="21"/>
        </w:rPr>
        <w:t>Concierge onboarding: platform staff help create and verify the first listings.</w:t>
      </w:r>
    </w:p>
    <w:p>
      <w:pPr>
        <w:pStyle w:val="ListBullet"/>
        <w:widowControl/>
        <w:spacing w:after="70" w:line="281" w:lineRule="auto"/>
      </w:pPr>
      <w:r>
        <w:rPr>
          <w:rFonts w:ascii="Arial" w:hAnsi="Arial"/>
          <w:b w:val="0"/>
          <w:i w:val="0"/>
          <w:color w:val="111827"/>
          <w:sz w:val="21"/>
        </w:rPr>
        <w:t>Select launch categories using demand frequency, provider density and operational simplicity.</w:t>
      </w:r>
    </w:p>
    <w:p>
      <w:pPr>
        <w:pStyle w:val="ListBullet"/>
        <w:widowControl/>
        <w:spacing w:after="70" w:line="281" w:lineRule="auto"/>
      </w:pPr>
      <w:r>
        <w:rPr>
          <w:rFonts w:ascii="Arial" w:hAnsi="Arial"/>
          <w:b w:val="0"/>
          <w:i w:val="0"/>
          <w:color w:val="111827"/>
          <w:sz w:val="21"/>
        </w:rPr>
        <w:t>Require calendar and price maintenance in return for founding-plan benefits.</w:t>
      </w:r>
    </w:p>
    <w:p>
      <w:pPr>
        <w:pStyle w:val="ListBullet"/>
        <w:widowControl/>
        <w:spacing w:after="70" w:line="281" w:lineRule="auto"/>
      </w:pPr>
      <w:r>
        <w:rPr>
          <w:rFonts w:ascii="Arial" w:hAnsi="Arial"/>
          <w:b w:val="0"/>
          <w:i w:val="0"/>
          <w:color w:val="111827"/>
          <w:sz w:val="21"/>
        </w:rPr>
        <w:t>Publish provider case studies only after measurable inquiries or utilization outcomes exist.</w:t>
      </w:r>
    </w:p>
    <w:p>
      <w:pPr>
        <w:pStyle w:val="Heading2"/>
        <w:keepNext/>
        <w:widowControl/>
      </w:pPr>
      <w:r>
        <w:t>Demand launch</w:t>
      </w:r>
    </w:p>
    <w:p>
      <w:pPr>
        <w:pStyle w:val="ListBullet"/>
        <w:widowControl/>
        <w:spacing w:after="70" w:line="281" w:lineRule="auto"/>
      </w:pPr>
      <w:r>
        <w:rPr>
          <w:rFonts w:ascii="Arial" w:hAnsi="Arial"/>
          <w:b w:val="0"/>
          <w:i w:val="0"/>
          <w:color w:val="111827"/>
          <w:sz w:val="21"/>
        </w:rPr>
        <w:t>Target site managers, procurement teams, contractors and renovation businesses by chosen category and region.</w:t>
      </w:r>
    </w:p>
    <w:p>
      <w:pPr>
        <w:pStyle w:val="ListBullet"/>
        <w:widowControl/>
        <w:spacing w:after="70" w:line="281" w:lineRule="auto"/>
      </w:pPr>
      <w:r>
        <w:rPr>
          <w:rFonts w:ascii="Arial" w:hAnsi="Arial"/>
          <w:b w:val="0"/>
          <w:i w:val="0"/>
          <w:color w:val="111827"/>
          <w:sz w:val="21"/>
        </w:rPr>
        <w:t>Use direct outreach, industry relationships, search content, trade groups and targeted campaigns.</w:t>
      </w:r>
    </w:p>
    <w:p>
      <w:pPr>
        <w:pStyle w:val="ListBullet"/>
        <w:widowControl/>
        <w:spacing w:after="70" w:line="281" w:lineRule="auto"/>
      </w:pPr>
      <w:r>
        <w:rPr>
          <w:rFonts w:ascii="Arial" w:hAnsi="Arial"/>
          <w:b w:val="0"/>
          <w:i w:val="0"/>
          <w:color w:val="111827"/>
          <w:sz w:val="21"/>
        </w:rPr>
        <w:t>Lead with speed, availability and comparison—not generic “all construction in one app” messaging.</w:t>
      </w:r>
    </w:p>
    <w:p>
      <w:pPr>
        <w:pStyle w:val="ListBullet"/>
        <w:widowControl/>
        <w:spacing w:after="70" w:line="281" w:lineRule="auto"/>
      </w:pPr>
      <w:r>
        <w:rPr>
          <w:rFonts w:ascii="Arial" w:hAnsi="Arial"/>
          <w:b w:val="0"/>
          <w:i w:val="0"/>
          <w:color w:val="111827"/>
          <w:sz w:val="21"/>
        </w:rPr>
        <w:t>Create shareable public listing and provider pages that open into the app or web request flow.</w:t>
      </w:r>
    </w:p>
    <w:p>
      <w:pPr>
        <w:pStyle w:val="ListBullet"/>
        <w:widowControl/>
        <w:spacing w:after="70" w:line="281" w:lineRule="auto"/>
      </w:pPr>
      <w:r>
        <w:rPr>
          <w:rFonts w:ascii="Arial" w:hAnsi="Arial"/>
          <w:b w:val="0"/>
          <w:i w:val="0"/>
          <w:color w:val="111827"/>
          <w:sz w:val="21"/>
        </w:rPr>
        <w:t>Manually support the first requests to learn where customers abandon or call outside the app.</w:t>
      </w:r>
    </w:p>
    <w:p>
      <w:pPr>
        <w:pStyle w:val="Heading2"/>
        <w:keepNext/>
        <w:widowControl/>
      </w:pPr>
      <w:r>
        <w:t>Pilot readiness targets</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3200"/>
        <w:gridCol w:w="6160"/>
      </w:tblGrid>
      <w:tr>
        <w:trPr>
          <w:tblHeader w:val="true"/>
          <w:cantSplit/>
        </w:trPr>
        <w:tc>
          <w:tcPr>
            <w:tcW w:type="dxa" w:w="3200"/>
            <w:shd w:fill="18324A"/>
            <w:tcMar>
              <w:top w:w="110" w:type="dxa"/>
              <w:start w:w="120" w:type="dxa"/>
              <w:bottom w:w="110" w:type="dxa"/>
              <w:end w:w="120" w:type="dxa"/>
            </w:tcMar>
            <w:vAlign w:val="center"/>
          </w:tcPr>
          <w:p>
            <w:pPr>
              <w:spacing w:after="0"/>
            </w:pPr>
            <w:r>
              <w:rPr>
                <w:rFonts w:ascii="Arial" w:hAnsi="Arial"/>
                <w:b/>
                <w:i w:val="0"/>
                <w:color w:val="FFFFFF"/>
                <w:sz w:val="18"/>
              </w:rPr>
              <w:t>Metric</w:t>
            </w:r>
          </w:p>
        </w:tc>
        <w:tc>
          <w:tcPr>
            <w:tcW w:type="dxa" w:w="6160"/>
            <w:shd w:fill="18324A"/>
            <w:tcMar>
              <w:top w:w="110" w:type="dxa"/>
              <w:start w:w="120" w:type="dxa"/>
              <w:bottom w:w="110" w:type="dxa"/>
              <w:end w:w="120" w:type="dxa"/>
            </w:tcMar>
            <w:vAlign w:val="center"/>
          </w:tcPr>
          <w:p>
            <w:pPr>
              <w:spacing w:after="0"/>
            </w:pPr>
            <w:r>
              <w:rPr>
                <w:rFonts w:ascii="Arial" w:hAnsi="Arial"/>
                <w:b/>
                <w:i w:val="0"/>
                <w:color w:val="FFFFFF"/>
                <w:sz w:val="18"/>
              </w:rPr>
              <w:t>Working target</w:t>
            </w:r>
          </w:p>
        </w:tc>
      </w:tr>
      <w:tr>
        <w:trPr>
          <w:cantSplit/>
        </w:trPr>
        <w:tc>
          <w:tcPr>
            <w:tcW w:type="dxa" w:w="3200"/>
            <w:tcMar>
              <w:top w:w="100" w:type="dxa"/>
              <w:start w:w="120" w:type="dxa"/>
              <w:bottom w:w="100" w:type="dxa"/>
              <w:end w:w="120" w:type="dxa"/>
            </w:tcMar>
            <w:vAlign w:val="center"/>
          </w:tcPr>
          <w:p>
            <w:pPr>
              <w:spacing w:after="0" w:line="264" w:lineRule="auto"/>
            </w:pPr>
            <w:r>
              <w:rPr>
                <w:rFonts w:ascii="Arial" w:hAnsi="Arial"/>
                <w:b w:val="0"/>
                <w:i w:val="0"/>
                <w:color w:val="111827"/>
                <w:sz w:val="18"/>
              </w:rPr>
              <w:t>Verified providers</w:t>
            </w:r>
          </w:p>
        </w:tc>
        <w:tc>
          <w:tcPr>
            <w:tcW w:type="dxa" w:w="6160"/>
            <w:tcMar>
              <w:top w:w="100" w:type="dxa"/>
              <w:start w:w="120" w:type="dxa"/>
              <w:bottom w:w="100" w:type="dxa"/>
              <w:end w:w="120" w:type="dxa"/>
            </w:tcMar>
            <w:vAlign w:val="center"/>
          </w:tcPr>
          <w:p>
            <w:pPr>
              <w:spacing w:after="0" w:line="264" w:lineRule="auto"/>
            </w:pPr>
            <w:r>
              <w:rPr>
                <w:rFonts w:ascii="Arial" w:hAnsi="Arial"/>
                <w:b w:val="0"/>
                <w:i w:val="0"/>
                <w:color w:val="111827"/>
                <w:sz w:val="18"/>
              </w:rPr>
              <w:t>20–30</w:t>
            </w:r>
          </w:p>
        </w:tc>
      </w:tr>
      <w:tr>
        <w:trPr>
          <w:cantSplit/>
        </w:trPr>
        <w:tc>
          <w:tcPr>
            <w:tcW w:type="dxa" w:w="3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Live quality listings</w:t>
            </w:r>
          </w:p>
        </w:tc>
        <w:tc>
          <w:tcPr>
            <w:tcW w:type="dxa" w:w="61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100–200</w:t>
            </w:r>
          </w:p>
        </w:tc>
      </w:tr>
      <w:tr>
        <w:trPr>
          <w:cantSplit/>
        </w:trPr>
        <w:tc>
          <w:tcPr>
            <w:tcW w:type="dxa" w:w="3200"/>
            <w:tcMar>
              <w:top w:w="100" w:type="dxa"/>
              <w:start w:w="120" w:type="dxa"/>
              <w:bottom w:w="100" w:type="dxa"/>
              <w:end w:w="120" w:type="dxa"/>
            </w:tcMar>
            <w:vAlign w:val="center"/>
          </w:tcPr>
          <w:p>
            <w:pPr>
              <w:spacing w:after="0" w:line="264" w:lineRule="auto"/>
            </w:pPr>
            <w:r>
              <w:rPr>
                <w:rFonts w:ascii="Arial" w:hAnsi="Arial"/>
                <w:b w:val="0"/>
                <w:i w:val="0"/>
                <w:color w:val="111827"/>
                <w:sz w:val="18"/>
              </w:rPr>
              <w:t>Priority categories</w:t>
            </w:r>
          </w:p>
        </w:tc>
        <w:tc>
          <w:tcPr>
            <w:tcW w:type="dxa" w:w="6160"/>
            <w:tcMar>
              <w:top w:w="100" w:type="dxa"/>
              <w:start w:w="120" w:type="dxa"/>
              <w:bottom w:w="100" w:type="dxa"/>
              <w:end w:w="120" w:type="dxa"/>
            </w:tcMar>
            <w:vAlign w:val="center"/>
          </w:tcPr>
          <w:p>
            <w:pPr>
              <w:spacing w:after="0" w:line="264" w:lineRule="auto"/>
            </w:pPr>
            <w:r>
              <w:rPr>
                <w:rFonts w:ascii="Arial" w:hAnsi="Arial"/>
                <w:b w:val="0"/>
                <w:i w:val="0"/>
                <w:color w:val="111827"/>
                <w:sz w:val="18"/>
              </w:rPr>
              <w:t>5–8</w:t>
            </w:r>
          </w:p>
        </w:tc>
      </w:tr>
      <w:tr>
        <w:trPr>
          <w:cantSplit/>
        </w:trPr>
        <w:tc>
          <w:tcPr>
            <w:tcW w:type="dxa" w:w="3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Initial region</w:t>
            </w:r>
          </w:p>
        </w:tc>
        <w:tc>
          <w:tcPr>
            <w:tcW w:type="dxa" w:w="61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One high-density operating region, expandable nationwide</w:t>
            </w:r>
          </w:p>
        </w:tc>
      </w:tr>
      <w:tr>
        <w:trPr>
          <w:cantSplit/>
        </w:trPr>
        <w:tc>
          <w:tcPr>
            <w:tcW w:type="dxa" w:w="3200"/>
            <w:tcMar>
              <w:top w:w="100" w:type="dxa"/>
              <w:start w:w="120" w:type="dxa"/>
              <w:bottom w:w="100" w:type="dxa"/>
              <w:end w:w="120" w:type="dxa"/>
            </w:tcMar>
            <w:vAlign w:val="center"/>
          </w:tcPr>
          <w:p>
            <w:pPr>
              <w:spacing w:after="0" w:line="264" w:lineRule="auto"/>
            </w:pPr>
            <w:r>
              <w:rPr>
                <w:rFonts w:ascii="Arial" w:hAnsi="Arial"/>
                <w:b w:val="0"/>
                <w:i w:val="0"/>
                <w:color w:val="111827"/>
                <w:sz w:val="18"/>
              </w:rPr>
              <w:t>Invited customer businesses</w:t>
            </w:r>
          </w:p>
        </w:tc>
        <w:tc>
          <w:tcPr>
            <w:tcW w:type="dxa" w:w="6160"/>
            <w:tcMar>
              <w:top w:w="100" w:type="dxa"/>
              <w:start w:w="120" w:type="dxa"/>
              <w:bottom w:w="100" w:type="dxa"/>
              <w:end w:w="120" w:type="dxa"/>
            </w:tcMar>
            <w:vAlign w:val="center"/>
          </w:tcPr>
          <w:p>
            <w:pPr>
              <w:spacing w:after="0" w:line="264" w:lineRule="auto"/>
            </w:pPr>
            <w:r>
              <w:rPr>
                <w:rFonts w:ascii="Arial" w:hAnsi="Arial"/>
                <w:b w:val="0"/>
                <w:i w:val="0"/>
                <w:color w:val="111827"/>
                <w:sz w:val="18"/>
              </w:rPr>
              <w:t>20–30</w:t>
            </w:r>
          </w:p>
        </w:tc>
      </w:tr>
      <w:tr>
        <w:trPr>
          <w:cantSplit/>
        </w:trPr>
        <w:tc>
          <w:tcPr>
            <w:tcW w:type="dxa" w:w="3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response SLA</w:t>
            </w:r>
          </w:p>
        </w:tc>
        <w:tc>
          <w:tcPr>
            <w:tcW w:type="dxa" w:w="61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Working target under 30 minutes during business hours; validate</w:t>
            </w:r>
          </w:p>
        </w:tc>
      </w:tr>
      <w:tr>
        <w:trPr>
          <w:cantSplit/>
        </w:trPr>
        <w:tc>
          <w:tcPr>
            <w:tcW w:type="dxa" w:w="3200"/>
            <w:tcMar>
              <w:top w:w="100" w:type="dxa"/>
              <w:start w:w="120" w:type="dxa"/>
              <w:bottom w:w="100" w:type="dxa"/>
              <w:end w:w="120" w:type="dxa"/>
            </w:tcMar>
            <w:vAlign w:val="center"/>
          </w:tcPr>
          <w:p>
            <w:pPr>
              <w:spacing w:after="0" w:line="264" w:lineRule="auto"/>
            </w:pPr>
            <w:r>
              <w:rPr>
                <w:rFonts w:ascii="Arial" w:hAnsi="Arial"/>
                <w:b w:val="0"/>
                <w:i w:val="0"/>
                <w:color w:val="111827"/>
                <w:sz w:val="18"/>
              </w:rPr>
              <w:t>Calendar freshness</w:t>
            </w:r>
          </w:p>
        </w:tc>
        <w:tc>
          <w:tcPr>
            <w:tcW w:type="dxa" w:w="616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confirmation at least weekly or through each listing update</w:t>
            </w:r>
          </w:p>
        </w:tc>
      </w:tr>
    </w:tbl>
    <w:p>
      <w:pPr>
        <w:keepNext w:val="0"/>
        <w:widowControl/>
        <w:spacing w:before="0" w:after="40" w:line="283" w:lineRule="auto"/>
        <w:jc w:val="left"/>
      </w:pPr>
      <w:r>
        <w:rPr>
          <w:rFonts w:ascii="Arial" w:hAnsi="Arial"/>
          <w:b w:val="0"/>
          <w:i w:val="0"/>
          <w:color w:val="111827"/>
          <w:sz w:val="4"/>
        </w:rPr>
      </w:r>
    </w:p>
    <w:p>
      <w:pPr>
        <w:pStyle w:val="Heading1"/>
        <w:keepNext/>
        <w:widowControl/>
      </w:pPr>
      <w:r>
        <w:t>14. Metrics and decision dashboard</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1700"/>
        <w:gridCol w:w="7660"/>
      </w:tblGrid>
      <w:tr>
        <w:trPr>
          <w:tblHeader w:val="true"/>
          <w:cantSplit/>
        </w:trPr>
        <w:tc>
          <w:tcPr>
            <w:tcW w:type="dxa" w:w="1700"/>
            <w:shd w:fill="18324A"/>
            <w:tcMar>
              <w:top w:w="110" w:type="dxa"/>
              <w:start w:w="120" w:type="dxa"/>
              <w:bottom w:w="110" w:type="dxa"/>
              <w:end w:w="120" w:type="dxa"/>
            </w:tcMar>
            <w:vAlign w:val="center"/>
          </w:tcPr>
          <w:p>
            <w:pPr>
              <w:spacing w:after="0"/>
            </w:pPr>
            <w:r>
              <w:rPr>
                <w:rFonts w:ascii="Arial" w:hAnsi="Arial"/>
                <w:b/>
                <w:i w:val="0"/>
                <w:color w:val="FFFFFF"/>
                <w:sz w:val="18"/>
              </w:rPr>
              <w:t>Layer</w:t>
            </w:r>
          </w:p>
        </w:tc>
        <w:tc>
          <w:tcPr>
            <w:tcW w:type="dxa" w:w="7660"/>
            <w:shd w:fill="18324A"/>
            <w:tcMar>
              <w:top w:w="110" w:type="dxa"/>
              <w:start w:w="120" w:type="dxa"/>
              <w:bottom w:w="110" w:type="dxa"/>
              <w:end w:w="120" w:type="dxa"/>
            </w:tcMar>
            <w:vAlign w:val="center"/>
          </w:tcPr>
          <w:p>
            <w:pPr>
              <w:spacing w:after="0"/>
            </w:pPr>
            <w:r>
              <w:rPr>
                <w:rFonts w:ascii="Arial" w:hAnsi="Arial"/>
                <w:b/>
                <w:i w:val="0"/>
                <w:color w:val="FFFFFF"/>
                <w:sz w:val="18"/>
              </w:rPr>
              <w:t>Metrics</w:t>
            </w:r>
          </w:p>
        </w:tc>
      </w:tr>
      <w:tr>
        <w:trPr>
          <w:cantSplit/>
        </w:trPr>
        <w:tc>
          <w:tcPr>
            <w:tcW w:type="dxa" w:w="1700"/>
            <w:tcMar>
              <w:top w:w="100" w:type="dxa"/>
              <w:start w:w="120" w:type="dxa"/>
              <w:bottom w:w="100" w:type="dxa"/>
              <w:end w:w="120" w:type="dxa"/>
            </w:tcMar>
            <w:vAlign w:val="center"/>
          </w:tcPr>
          <w:p>
            <w:pPr>
              <w:spacing w:after="0" w:line="264" w:lineRule="auto"/>
            </w:pPr>
            <w:r>
              <w:rPr>
                <w:rFonts w:ascii="Arial" w:hAnsi="Arial"/>
                <w:b w:val="0"/>
                <w:i w:val="0"/>
                <w:color w:val="111827"/>
                <w:sz w:val="18"/>
              </w:rPr>
              <w:t>Supply</w:t>
            </w:r>
          </w:p>
        </w:tc>
        <w:tc>
          <w:tcPr>
            <w:tcW w:type="dxa" w:w="7660"/>
            <w:tcMar>
              <w:top w:w="100" w:type="dxa"/>
              <w:start w:w="120" w:type="dxa"/>
              <w:bottom w:w="100" w:type="dxa"/>
              <w:end w:w="120" w:type="dxa"/>
            </w:tcMar>
            <w:vAlign w:val="center"/>
          </w:tcPr>
          <w:p>
            <w:pPr>
              <w:spacing w:after="0" w:line="264" w:lineRule="auto"/>
            </w:pPr>
            <w:r>
              <w:rPr>
                <w:rFonts w:ascii="Arial" w:hAnsi="Arial"/>
                <w:b w:val="0"/>
                <w:i w:val="0"/>
                <w:color w:val="111827"/>
                <w:sz w:val="18"/>
              </w:rPr>
              <w:t>Verified providers, live listings, category/region coverage, calendar freshness, price completeness.</w:t>
            </w:r>
          </w:p>
        </w:tc>
      </w:tr>
      <w:tr>
        <w:trPr>
          <w:cantSplit/>
        </w:trPr>
        <w:tc>
          <w:tcPr>
            <w:tcW w:type="dxa" w:w="17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Demand</w:t>
            </w:r>
          </w:p>
        </w:tc>
        <w:tc>
          <w:tcPr>
            <w:tcW w:type="dxa" w:w="76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Searches, searchers with results, listing views, saved listings, request starts and completed requests.</w:t>
            </w:r>
          </w:p>
        </w:tc>
      </w:tr>
      <w:tr>
        <w:trPr>
          <w:cantSplit/>
        </w:trPr>
        <w:tc>
          <w:tcPr>
            <w:tcW w:type="dxa" w:w="1700"/>
            <w:tcMar>
              <w:top w:w="100" w:type="dxa"/>
              <w:start w:w="120" w:type="dxa"/>
              <w:bottom w:w="100" w:type="dxa"/>
              <w:end w:w="120" w:type="dxa"/>
            </w:tcMar>
            <w:vAlign w:val="center"/>
          </w:tcPr>
          <w:p>
            <w:pPr>
              <w:spacing w:after="0" w:line="264" w:lineRule="auto"/>
            </w:pPr>
            <w:r>
              <w:rPr>
                <w:rFonts w:ascii="Arial" w:hAnsi="Arial"/>
                <w:b w:val="0"/>
                <w:i w:val="0"/>
                <w:color w:val="111827"/>
                <w:sz w:val="18"/>
              </w:rPr>
              <w:t>Matching</w:t>
            </w:r>
          </w:p>
        </w:tc>
        <w:tc>
          <w:tcPr>
            <w:tcW w:type="dxa" w:w="7660"/>
            <w:tcMar>
              <w:top w:w="100" w:type="dxa"/>
              <w:start w:w="120" w:type="dxa"/>
              <w:bottom w:w="100" w:type="dxa"/>
              <w:end w:w="120" w:type="dxa"/>
            </w:tcMar>
            <w:vAlign w:val="center"/>
          </w:tcPr>
          <w:p>
            <w:pPr>
              <w:spacing w:after="0" w:line="264" w:lineRule="auto"/>
            </w:pPr>
            <w:r>
              <w:rPr>
                <w:rFonts w:ascii="Arial" w:hAnsi="Arial"/>
                <w:b w:val="0"/>
                <w:i w:val="0"/>
                <w:color w:val="111827"/>
                <w:sz w:val="18"/>
              </w:rPr>
              <w:t>Relevant result rate, requests per listing, quote response, time to first response and provider acceptance.</w:t>
            </w:r>
          </w:p>
        </w:tc>
      </w:tr>
      <w:tr>
        <w:trPr>
          <w:cantSplit/>
        </w:trPr>
        <w:tc>
          <w:tcPr>
            <w:tcW w:type="dxa" w:w="17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Outcome</w:t>
            </w:r>
          </w:p>
        </w:tc>
        <w:tc>
          <w:tcPr>
            <w:tcW w:type="dxa" w:w="76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Reported completed jobs, cancellations, disputes, repeat customers and repeat providers.</w:t>
            </w:r>
          </w:p>
        </w:tc>
      </w:tr>
      <w:tr>
        <w:trPr>
          <w:cantSplit/>
        </w:trPr>
        <w:tc>
          <w:tcPr>
            <w:tcW w:type="dxa" w:w="1700"/>
            <w:tcMar>
              <w:top w:w="100" w:type="dxa"/>
              <w:start w:w="120" w:type="dxa"/>
              <w:bottom w:w="100" w:type="dxa"/>
              <w:end w:w="120" w:type="dxa"/>
            </w:tcMar>
            <w:vAlign w:val="center"/>
          </w:tcPr>
          <w:p>
            <w:pPr>
              <w:spacing w:after="0" w:line="264" w:lineRule="auto"/>
            </w:pPr>
            <w:r>
              <w:rPr>
                <w:rFonts w:ascii="Arial" w:hAnsi="Arial"/>
                <w:b w:val="0"/>
                <w:i w:val="0"/>
                <w:color w:val="111827"/>
                <w:sz w:val="18"/>
              </w:rPr>
              <w:t>Revenue</w:t>
            </w:r>
          </w:p>
        </w:tc>
        <w:tc>
          <w:tcPr>
            <w:tcW w:type="dxa" w:w="7660"/>
            <w:tcMar>
              <w:top w:w="100" w:type="dxa"/>
              <w:start w:w="120" w:type="dxa"/>
              <w:bottom w:w="100" w:type="dxa"/>
              <w:end w:w="120" w:type="dxa"/>
            </w:tcMar>
            <w:vAlign w:val="center"/>
          </w:tcPr>
          <w:p>
            <w:pPr>
              <w:spacing w:after="0" w:line="264" w:lineRule="auto"/>
            </w:pPr>
            <w:r>
              <w:rPr>
                <w:rFonts w:ascii="Arial" w:hAnsi="Arial"/>
                <w:b w:val="0"/>
                <w:i w:val="0"/>
                <w:color w:val="111827"/>
                <w:sz w:val="18"/>
              </w:rPr>
              <w:t>Trials, trial-to-paid conversion, MRR, churn, failed payments and revenue per provider.</w:t>
            </w:r>
          </w:p>
        </w:tc>
      </w:tr>
      <w:tr>
        <w:trPr>
          <w:cantSplit/>
        </w:trPr>
        <w:tc>
          <w:tcPr>
            <w:tcW w:type="dxa" w:w="17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Trust</w:t>
            </w:r>
          </w:p>
        </w:tc>
        <w:tc>
          <w:tcPr>
            <w:tcW w:type="dxa" w:w="76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Verification completion, expired documents, reports, removals, review rate and fraud/safety incidents.</w:t>
            </w:r>
          </w:p>
        </w:tc>
      </w:tr>
    </w:tbl>
    <w:p>
      <w:pPr>
        <w:keepNext w:val="0"/>
        <w:widowControl/>
        <w:spacing w:before="0" w:after="40" w:line="283" w:lineRule="auto"/>
        <w:jc w:val="left"/>
      </w:pPr>
      <w:r>
        <w:rPr>
          <w:rFonts w:ascii="Arial" w:hAnsi="Arial"/>
          <w:b w:val="0"/>
          <w:i w:val="0"/>
          <w:color w:val="111827"/>
          <w:sz w:val="4"/>
        </w:rPr>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NORTH-STAR CANDIDATE</w:t>
            </w:r>
          </w:p>
          <w:p>
            <w:pPr>
              <w:spacing w:before="0" w:after="0" w:line="278" w:lineRule="auto"/>
            </w:pPr>
            <w:r>
              <w:rPr>
                <w:rFonts w:ascii="Arial" w:hAnsi="Arial"/>
                <w:b w:val="0"/>
                <w:i w:val="0"/>
                <w:color w:val="111827"/>
                <w:sz w:val="21"/>
              </w:rPr>
              <w:t>Monthly customer requests receiving at least one qualified provider response. It measures useful marketplace activity without pretending the platform can verify every off-platform payment or completed contract.</w:t>
            </w:r>
          </w:p>
        </w:tc>
      </w:tr>
    </w:tbl>
    <w:p>
      <w:pPr>
        <w:keepNext w:val="0"/>
        <w:widowControl/>
        <w:spacing w:before="0" w:after="40" w:line="283" w:lineRule="auto"/>
        <w:jc w:val="left"/>
      </w:pPr>
      <w:r>
        <w:rPr>
          <w:rFonts w:ascii="Arial" w:hAnsi="Arial"/>
          <w:b w:val="0"/>
          <w:i w:val="0"/>
          <w:color w:val="111827"/>
          <w:sz w:val="4"/>
        </w:rPr>
      </w:r>
    </w:p>
    <w:p>
      <w:pPr>
        <w:widowControl/>
      </w:pPr>
      <w:r>
        <w:br w:type="page"/>
      </w:r>
    </w:p>
    <w:p>
      <w:pPr>
        <w:pStyle w:val="Heading1"/>
        <w:keepNext/>
        <w:widowControl/>
      </w:pPr>
      <w:r>
        <w:t>15. Two-week product and design plan</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750"/>
        <w:gridCol w:w="4990"/>
        <w:gridCol w:w="3620"/>
      </w:tblGrid>
      <w:tr>
        <w:trPr>
          <w:tblHeader w:val="true"/>
          <w:cantSplit/>
        </w:trPr>
        <w:tc>
          <w:tcPr>
            <w:tcW w:type="dxa" w:w="750"/>
            <w:shd w:fill="18324A"/>
            <w:tcMar>
              <w:top w:w="110" w:type="dxa"/>
              <w:start w:w="120" w:type="dxa"/>
              <w:bottom w:w="110" w:type="dxa"/>
              <w:end w:w="120" w:type="dxa"/>
            </w:tcMar>
            <w:vAlign w:val="center"/>
          </w:tcPr>
          <w:p>
            <w:pPr>
              <w:spacing w:after="0"/>
            </w:pPr>
            <w:r>
              <w:rPr>
                <w:rFonts w:ascii="Arial" w:hAnsi="Arial"/>
                <w:b/>
                <w:i w:val="0"/>
                <w:color w:val="FFFFFF"/>
                <w:sz w:val="18"/>
              </w:rPr>
              <w:t>Day</w:t>
            </w:r>
          </w:p>
        </w:tc>
        <w:tc>
          <w:tcPr>
            <w:tcW w:type="dxa" w:w="4990"/>
            <w:shd w:fill="18324A"/>
            <w:tcMar>
              <w:top w:w="110" w:type="dxa"/>
              <w:start w:w="120" w:type="dxa"/>
              <w:bottom w:w="110" w:type="dxa"/>
              <w:end w:w="120" w:type="dxa"/>
            </w:tcMar>
            <w:vAlign w:val="center"/>
          </w:tcPr>
          <w:p>
            <w:pPr>
              <w:spacing w:after="0"/>
            </w:pPr>
            <w:r>
              <w:rPr>
                <w:rFonts w:ascii="Arial" w:hAnsi="Arial"/>
                <w:b/>
                <w:i w:val="0"/>
                <w:color w:val="FFFFFF"/>
                <w:sz w:val="18"/>
              </w:rPr>
              <w:t>Primary work</w:t>
            </w:r>
          </w:p>
        </w:tc>
        <w:tc>
          <w:tcPr>
            <w:tcW w:type="dxa" w:w="3620"/>
            <w:shd w:fill="18324A"/>
            <w:tcMar>
              <w:top w:w="110" w:type="dxa"/>
              <w:start w:w="120" w:type="dxa"/>
              <w:bottom w:w="110" w:type="dxa"/>
              <w:end w:w="120" w:type="dxa"/>
            </w:tcMar>
            <w:vAlign w:val="center"/>
          </w:tcPr>
          <w:p>
            <w:pPr>
              <w:spacing w:after="0"/>
            </w:pPr>
            <w:r>
              <w:rPr>
                <w:rFonts w:ascii="Arial" w:hAnsi="Arial"/>
                <w:b/>
                <w:i w:val="0"/>
                <w:color w:val="FFFFFF"/>
                <w:sz w:val="18"/>
              </w:rPr>
              <w:t>Output</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1</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Founder workshop; confirm model, roles, assumptions and decision owners.</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Decision register v1</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2</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Provider/customer interview launch; draft category architecture.</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Interview guide + taxonomy v1</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3</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Business rules: prices, availability, delivery, operator, quotes and messaging.</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Rules matrix</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4</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Trust, verification, legal questions and admin operations.</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Verification/legal brief</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5</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Information architecture and complete screen inventory.</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Sitemap + screen list</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6</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fixed-price and quote wireframes.</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flow</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7</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onboarding, listing, calendar and inquiry wireframes.</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flow</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8</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Admin, moderation, subscription and support wireframes.</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Admin flow</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9</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Design system and RTL component foundation.</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UI kit v1</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10</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High-fidelity customer screens.</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 UI</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11</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High-fidelity provider screens.</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Provider UI</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12</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High-fidelity admin/responsive screens.</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Admin UI</w:t>
            </w:r>
          </w:p>
        </w:tc>
      </w:tr>
      <w:tr>
        <w:trPr>
          <w:cantSplit/>
        </w:trPr>
        <w:tc>
          <w:tcPr>
            <w:tcW w:type="dxa" w:w="750"/>
            <w:tcMar>
              <w:top w:w="100" w:type="dxa"/>
              <w:start w:w="120" w:type="dxa"/>
              <w:bottom w:w="100" w:type="dxa"/>
              <w:end w:w="120" w:type="dxa"/>
            </w:tcMar>
            <w:vAlign w:val="center"/>
          </w:tcPr>
          <w:p>
            <w:pPr>
              <w:spacing w:after="0" w:line="264" w:lineRule="auto"/>
            </w:pPr>
            <w:r>
              <w:rPr>
                <w:rFonts w:ascii="Arial" w:hAnsi="Arial"/>
                <w:b w:val="0"/>
                <w:i w:val="0"/>
                <w:color w:val="111827"/>
                <w:sz w:val="18"/>
              </w:rPr>
              <w:t>13</w:t>
            </w:r>
          </w:p>
        </w:tc>
        <w:tc>
          <w:tcPr>
            <w:tcW w:type="dxa" w:w="4990"/>
            <w:tcMar>
              <w:top w:w="100" w:type="dxa"/>
              <w:start w:w="120" w:type="dxa"/>
              <w:bottom w:w="100" w:type="dxa"/>
              <w:end w:w="120" w:type="dxa"/>
            </w:tcMar>
            <w:vAlign w:val="center"/>
          </w:tcPr>
          <w:p>
            <w:pPr>
              <w:spacing w:after="0" w:line="264" w:lineRule="auto"/>
            </w:pPr>
            <w:r>
              <w:rPr>
                <w:rFonts w:ascii="Arial" w:hAnsi="Arial"/>
                <w:b w:val="0"/>
                <w:i w:val="0"/>
                <w:color w:val="111827"/>
                <w:sz w:val="18"/>
              </w:rPr>
              <w:t>Prototype testing with providers/customers; corrections.</w:t>
            </w:r>
          </w:p>
        </w:tc>
        <w:tc>
          <w:tcPr>
            <w:tcW w:type="dxa" w:w="3620"/>
            <w:tcMar>
              <w:top w:w="100" w:type="dxa"/>
              <w:start w:w="120" w:type="dxa"/>
              <w:bottom w:w="100" w:type="dxa"/>
              <w:end w:w="120" w:type="dxa"/>
            </w:tcMar>
            <w:vAlign w:val="center"/>
          </w:tcPr>
          <w:p>
            <w:pPr>
              <w:spacing w:after="0" w:line="264" w:lineRule="auto"/>
            </w:pPr>
            <w:r>
              <w:rPr>
                <w:rFonts w:ascii="Arial" w:hAnsi="Arial"/>
                <w:b w:val="0"/>
                <w:i w:val="0"/>
                <w:color w:val="111827"/>
                <w:sz w:val="18"/>
              </w:rPr>
              <w:t>Test findings + revision</w:t>
            </w:r>
          </w:p>
        </w:tc>
      </w:tr>
      <w:tr>
        <w:trPr>
          <w:cantSplit/>
        </w:trPr>
        <w:tc>
          <w:tcPr>
            <w:tcW w:type="dxa" w:w="75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14</w:t>
            </w:r>
          </w:p>
        </w:tc>
        <w:tc>
          <w:tcPr>
            <w:tcW w:type="dxa" w:w="499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Developer handoff, acceptance criteria and backlog.</w:t>
            </w:r>
          </w:p>
        </w:tc>
        <w:tc>
          <w:tcPr>
            <w:tcW w:type="dxa" w:w="362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Design package + PRD outline</w:t>
            </w:r>
          </w:p>
        </w:tc>
      </w:tr>
    </w:tbl>
    <w:p>
      <w:pPr>
        <w:keepNext w:val="0"/>
        <w:widowControl/>
        <w:spacing w:before="0" w:after="40" w:line="283" w:lineRule="auto"/>
        <w:jc w:val="left"/>
      </w:pPr>
      <w:r>
        <w:rPr>
          <w:rFonts w:ascii="Arial" w:hAnsi="Arial"/>
          <w:b w:val="0"/>
          <w:i w:val="0"/>
          <w:color w:val="111827"/>
          <w:sz w:val="4"/>
        </w:rPr>
      </w:r>
    </w:p>
    <w:p>
      <w:pPr>
        <w:pStyle w:val="Heading2"/>
        <w:keepNext/>
        <w:widowControl/>
      </w:pPr>
      <w:r>
        <w:t>What must exist at the end of two weeks</w:t>
      </w:r>
    </w:p>
    <w:p>
      <w:pPr>
        <w:pStyle w:val="ListBullet"/>
        <w:widowControl/>
        <w:spacing w:after="70" w:line="281" w:lineRule="auto"/>
      </w:pPr>
      <w:r>
        <w:rPr>
          <w:rFonts w:ascii="Arial" w:hAnsi="Arial"/>
          <w:b w:val="0"/>
          <w:i w:val="0"/>
          <w:color w:val="111827"/>
          <w:sz w:val="21"/>
        </w:rPr>
        <w:t>Approved category and listing schema.</w:t>
      </w:r>
    </w:p>
    <w:p>
      <w:pPr>
        <w:pStyle w:val="ListBullet"/>
        <w:widowControl/>
        <w:spacing w:after="70" w:line="281" w:lineRule="auto"/>
      </w:pPr>
      <w:r>
        <w:rPr>
          <w:rFonts w:ascii="Arial" w:hAnsi="Arial"/>
          <w:b w:val="0"/>
          <w:i w:val="0"/>
          <w:color w:val="111827"/>
          <w:sz w:val="21"/>
        </w:rPr>
        <w:t>Approved user roles and permissions.</w:t>
      </w:r>
    </w:p>
    <w:p>
      <w:pPr>
        <w:pStyle w:val="ListBullet"/>
        <w:widowControl/>
        <w:spacing w:after="70" w:line="281" w:lineRule="auto"/>
      </w:pPr>
      <w:r>
        <w:rPr>
          <w:rFonts w:ascii="Arial" w:hAnsi="Arial"/>
          <w:b w:val="0"/>
          <w:i w:val="0"/>
          <w:color w:val="111827"/>
          <w:sz w:val="21"/>
        </w:rPr>
        <w:t>Business-rule matrix and unresolved legal questions.</w:t>
      </w:r>
    </w:p>
    <w:p>
      <w:pPr>
        <w:pStyle w:val="ListBullet"/>
        <w:widowControl/>
        <w:spacing w:after="70" w:line="281" w:lineRule="auto"/>
      </w:pPr>
      <w:r>
        <w:rPr>
          <w:rFonts w:ascii="Arial" w:hAnsi="Arial"/>
          <w:b w:val="0"/>
          <w:i w:val="0"/>
          <w:color w:val="111827"/>
          <w:sz w:val="21"/>
        </w:rPr>
        <w:t>Complete MVP scope and prioritized backlog.</w:t>
      </w:r>
    </w:p>
    <w:p>
      <w:pPr>
        <w:pStyle w:val="ListBullet"/>
        <w:widowControl/>
        <w:spacing w:after="70" w:line="281" w:lineRule="auto"/>
      </w:pPr>
      <w:r>
        <w:rPr>
          <w:rFonts w:ascii="Arial" w:hAnsi="Arial"/>
          <w:b w:val="0"/>
          <w:i w:val="0"/>
          <w:color w:val="111827"/>
          <w:sz w:val="21"/>
        </w:rPr>
        <w:t>Clickable RTL prototype of the core customer/provider loop.</w:t>
      </w:r>
    </w:p>
    <w:p>
      <w:pPr>
        <w:pStyle w:val="ListBullet"/>
        <w:widowControl/>
        <w:spacing w:after="70" w:line="281" w:lineRule="auto"/>
      </w:pPr>
      <w:r>
        <w:rPr>
          <w:rFonts w:ascii="Arial" w:hAnsi="Arial"/>
          <w:b w:val="0"/>
          <w:i w:val="0"/>
          <w:color w:val="111827"/>
          <w:sz w:val="21"/>
        </w:rPr>
        <w:t>Responsive admin concept and moderation workflows.</w:t>
      </w:r>
    </w:p>
    <w:p>
      <w:pPr>
        <w:pStyle w:val="ListBullet"/>
        <w:widowControl/>
        <w:spacing w:after="70" w:line="281" w:lineRule="auto"/>
      </w:pPr>
      <w:r>
        <w:rPr>
          <w:rFonts w:ascii="Arial" w:hAnsi="Arial"/>
          <w:b w:val="0"/>
          <w:i w:val="0"/>
          <w:color w:val="111827"/>
          <w:sz w:val="21"/>
        </w:rPr>
        <w:t>Design system, content rules, analytics events and developer acceptance criteria.</w:t>
      </w:r>
    </w:p>
    <w:p>
      <w:pPr>
        <w:pStyle w:val="ListBullet"/>
        <w:widowControl/>
        <w:spacing w:after="70" w:line="281" w:lineRule="auto"/>
      </w:pPr>
      <w:r>
        <w:rPr>
          <w:rFonts w:ascii="Arial" w:hAnsi="Arial"/>
          <w:b w:val="0"/>
          <w:i w:val="0"/>
          <w:color w:val="111827"/>
          <w:sz w:val="21"/>
        </w:rPr>
        <w:t>Pilot recruitment list and onboarding plan.</w:t>
      </w:r>
    </w:p>
    <w:p>
      <w:pPr>
        <w:pStyle w:val="Heading1"/>
        <w:keepNext/>
        <w:widowControl/>
      </w:pPr>
      <w:r>
        <w:t>16. Founder decision checklist</w:t>
      </w:r>
    </w:p>
    <w:tbl>
      <w:tblPr>
        <w:tblW w:type="dxa" w:w="9360"/>
        <w:jc w:val="left"/>
        <w:tblLayout w:type="fixed"/>
        <w:tblLook w:firstColumn="1" w:firstRow="1" w:lastColumn="0" w:lastRow="0" w:noHBand="0" w:noVBand="1" w:val="04A0"/>
        <w:tblInd w:w="120" w:type="dxa"/>
        <w:tblBorders>
          <w:top w:val="single" w:sz="4" w:space="0" w:color="D7DEE3"/>
          <w:left w:val="single" w:sz="4" w:space="0" w:color="D7DEE3"/>
          <w:bottom w:val="single" w:sz="4" w:space="0" w:color="D7DEE3"/>
          <w:right w:val="single" w:sz="4" w:space="0" w:color="D7DEE3"/>
          <w:insideH w:val="single" w:sz="4" w:space="0" w:color="D7DEE3"/>
          <w:insideV w:val="single" w:sz="4" w:space="0" w:color="D7DEE3"/>
        </w:tblBorders>
      </w:tblPr>
      <w:tblGrid>
        <w:gridCol w:w="4200"/>
        <w:gridCol w:w="3360"/>
        <w:gridCol w:w="1800"/>
      </w:tblGrid>
      <w:tr>
        <w:trPr>
          <w:tblHeader w:val="true"/>
          <w:cantSplit/>
        </w:trPr>
        <w:tc>
          <w:tcPr>
            <w:tcW w:type="dxa" w:w="4200"/>
            <w:shd w:fill="18324A"/>
            <w:tcMar>
              <w:top w:w="110" w:type="dxa"/>
              <w:start w:w="120" w:type="dxa"/>
              <w:bottom w:w="110" w:type="dxa"/>
              <w:end w:w="120" w:type="dxa"/>
            </w:tcMar>
            <w:vAlign w:val="center"/>
          </w:tcPr>
          <w:p>
            <w:pPr>
              <w:spacing w:after="0"/>
            </w:pPr>
            <w:r>
              <w:rPr>
                <w:rFonts w:ascii="Arial" w:hAnsi="Arial"/>
                <w:b/>
                <w:i w:val="0"/>
                <w:color w:val="FFFFFF"/>
                <w:sz w:val="18"/>
              </w:rPr>
              <w:t>Decision</w:t>
            </w:r>
          </w:p>
        </w:tc>
        <w:tc>
          <w:tcPr>
            <w:tcW w:type="dxa" w:w="3360"/>
            <w:shd w:fill="18324A"/>
            <w:tcMar>
              <w:top w:w="110" w:type="dxa"/>
              <w:start w:w="120" w:type="dxa"/>
              <w:bottom w:w="110" w:type="dxa"/>
              <w:end w:w="120" w:type="dxa"/>
            </w:tcMar>
            <w:vAlign w:val="center"/>
          </w:tcPr>
          <w:p>
            <w:pPr>
              <w:spacing w:after="0"/>
            </w:pPr>
            <w:r>
              <w:rPr>
                <w:rFonts w:ascii="Arial" w:hAnsi="Arial"/>
                <w:b/>
                <w:i w:val="0"/>
                <w:color w:val="FFFFFF"/>
                <w:sz w:val="18"/>
              </w:rPr>
              <w:t>Current status</w:t>
            </w:r>
          </w:p>
        </w:tc>
        <w:tc>
          <w:tcPr>
            <w:tcW w:type="dxa" w:w="1800"/>
            <w:shd w:fill="18324A"/>
            <w:tcMar>
              <w:top w:w="110" w:type="dxa"/>
              <w:start w:w="120" w:type="dxa"/>
              <w:bottom w:w="110" w:type="dxa"/>
              <w:end w:w="120" w:type="dxa"/>
            </w:tcMar>
            <w:vAlign w:val="center"/>
          </w:tcPr>
          <w:p>
            <w:pPr>
              <w:spacing w:after="0"/>
            </w:pPr>
            <w:r>
              <w:rPr>
                <w:rFonts w:ascii="Arial" w:hAnsi="Arial"/>
                <w:b/>
                <w:i w:val="0"/>
                <w:color w:val="FFFFFF"/>
                <w:sz w:val="18"/>
              </w:rPr>
              <w:t>Due</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Legal entity, ownership and founder roles</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TO DECIDE</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Before contracts/data collection</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Primary launch customer</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VALIDATE</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End of discovery week</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Launch region</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VALIDATE</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End of discovery week</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First 5–8 priority categories</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TO DECIDE</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Before wireframes are locked</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Languages at launch</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RECOMMENDED: Hebrew + architecture for Arabic/English</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Before design system</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Subscription trial and launch price</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VALIDATE</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provider recruitment offer</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Verification matrix by category</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LEGAL/OPERATIONS REVIEW</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provider activation</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Customer/provider contract model</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LEGAL REVIEW</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pilot</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Insurance requirements</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LEGAL/INSURANCE REVIEW</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pilot</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Parts inquiry vs. commerce checkout</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RECOMMENDED: inquiry first</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parts flow design</w:t>
            </w:r>
          </w:p>
        </w:tc>
      </w:tr>
      <w:tr>
        <w:trPr>
          <w:cantSplit/>
        </w:trPr>
        <w:tc>
          <w:tcPr>
            <w:tcW w:type="dxa" w:w="4200"/>
            <w:tcMar>
              <w:top w:w="100" w:type="dxa"/>
              <w:start w:w="120" w:type="dxa"/>
              <w:bottom w:w="100" w:type="dxa"/>
              <w:end w:w="120" w:type="dxa"/>
            </w:tcMar>
            <w:vAlign w:val="center"/>
          </w:tcPr>
          <w:p>
            <w:pPr>
              <w:spacing w:after="0" w:line="264" w:lineRule="auto"/>
            </w:pPr>
            <w:r>
              <w:rPr>
                <w:rFonts w:ascii="Arial" w:hAnsi="Arial"/>
                <w:b w:val="0"/>
                <w:i w:val="0"/>
                <w:color w:val="111827"/>
                <w:sz w:val="18"/>
              </w:rPr>
              <w:t>Mobile/web surface priority</w:t>
            </w:r>
          </w:p>
        </w:tc>
        <w:tc>
          <w:tcPr>
            <w:tcW w:type="dxa" w:w="3360"/>
            <w:tcMar>
              <w:top w:w="100" w:type="dxa"/>
              <w:start w:w="120" w:type="dxa"/>
              <w:bottom w:w="100" w:type="dxa"/>
              <w:end w:w="120" w:type="dxa"/>
            </w:tcMar>
            <w:vAlign w:val="center"/>
          </w:tcPr>
          <w:p>
            <w:pPr>
              <w:spacing w:after="0" w:line="264" w:lineRule="auto"/>
            </w:pPr>
            <w:r>
              <w:rPr>
                <w:rFonts w:ascii="Arial" w:hAnsi="Arial"/>
                <w:b w:val="0"/>
                <w:i w:val="0"/>
                <w:color w:val="111827"/>
                <w:sz w:val="18"/>
              </w:rPr>
              <w:t>RECOMMENDED: mobile + public responsive web + admin web</w:t>
            </w:r>
          </w:p>
        </w:tc>
        <w:tc>
          <w:tcPr>
            <w:tcW w:type="dxa" w:w="1800"/>
            <w:tcMar>
              <w:top w:w="100" w:type="dxa"/>
              <w:start w:w="120" w:type="dxa"/>
              <w:bottom w:w="100" w:type="dxa"/>
              <w:end w:w="120" w:type="dxa"/>
            </w:tcMar>
            <w:vAlign w:val="center"/>
          </w:tcPr>
          <w:p>
            <w:pPr>
              <w:spacing w:after="0" w:line="264" w:lineRule="auto"/>
            </w:pPr>
            <w:r>
              <w:rPr>
                <w:rFonts w:ascii="Arial" w:hAnsi="Arial"/>
                <w:b w:val="0"/>
                <w:i w:val="0"/>
                <w:color w:val="111827"/>
                <w:sz w:val="18"/>
              </w:rPr>
              <w:t>Before development estimate</w:t>
            </w:r>
          </w:p>
        </w:tc>
      </w:tr>
      <w:tr>
        <w:trPr>
          <w:cantSplit/>
        </w:trPr>
        <w:tc>
          <w:tcPr>
            <w:tcW w:type="dxa" w:w="42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Platform name and domain</w:t>
            </w:r>
          </w:p>
        </w:tc>
        <w:tc>
          <w:tcPr>
            <w:tcW w:type="dxa" w:w="336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TO DECIDE</w:t>
            </w:r>
          </w:p>
        </w:tc>
        <w:tc>
          <w:tcPr>
            <w:tcW w:type="dxa" w:w="1800"/>
            <w:shd w:fill="F5F7F9"/>
            <w:tcMar>
              <w:top w:w="100" w:type="dxa"/>
              <w:start w:w="120" w:type="dxa"/>
              <w:bottom w:w="100" w:type="dxa"/>
              <w:end w:w="120" w:type="dxa"/>
            </w:tcMar>
            <w:vAlign w:val="center"/>
          </w:tcPr>
          <w:p>
            <w:pPr>
              <w:spacing w:after="0" w:line="264" w:lineRule="auto"/>
            </w:pPr>
            <w:r>
              <w:rPr>
                <w:rFonts w:ascii="Arial" w:hAnsi="Arial"/>
                <w:b w:val="0"/>
                <w:i w:val="0"/>
                <w:color w:val="111827"/>
                <w:sz w:val="18"/>
              </w:rPr>
              <w:t>Before public recruitment</w:t>
            </w:r>
          </w:p>
        </w:tc>
      </w:tr>
    </w:tbl>
    <w:p>
      <w:pPr>
        <w:keepNext w:val="0"/>
        <w:widowControl/>
        <w:spacing w:before="0" w:after="40" w:line="283" w:lineRule="auto"/>
        <w:jc w:val="left"/>
      </w:pPr>
      <w:r>
        <w:rPr>
          <w:rFonts w:ascii="Arial" w:hAnsi="Arial"/>
          <w:b w:val="0"/>
          <w:i w:val="0"/>
          <w:color w:val="111827"/>
          <w:sz w:val="4"/>
        </w:rPr>
      </w:r>
    </w:p>
    <w:p>
      <w:pPr>
        <w:widowControl/>
      </w:pPr>
      <w:r>
        <w:br w:type="page"/>
      </w:r>
    </w:p>
    <w:p>
      <w:pPr>
        <w:pStyle w:val="Heading1"/>
        <w:keepNext/>
        <w:widowControl/>
      </w:pPr>
      <w:r>
        <w:t>17. Immediate next actions</w:t>
      </w:r>
    </w:p>
    <w:tbl>
      <w:tblPr>
        <w:tblW w:type="dxa" w:w="9360"/>
        <w:jc w:val="left"/>
        <w:tblLayout w:type="fixed"/>
        <w:tblLook w:firstColumn="1" w:firstRow="1" w:lastColumn="0" w:lastRow="0" w:noHBand="0" w:noVBand="1" w:val="04A0"/>
        <w:tblInd w:w="120" w:type="dxa"/>
        <w:tblBorders>
          <w:top w:val="single" w:sz="0" w:space="0" w:color="EEF3F6"/>
          <w:left w:val="single" w:sz="0" w:space="0" w:color="EEF3F6"/>
          <w:bottom w:val="single" w:sz="0" w:space="0" w:color="EEF3F6"/>
          <w:right w:val="single" w:sz="0" w:space="0" w:color="EEF3F6"/>
          <w:insideH w:val="single" w:sz="0" w:space="0" w:color="EEF3F6"/>
          <w:insideV w:val="single" w:sz="0" w:space="0" w:color="EEF3F6"/>
        </w:tblBorders>
      </w:tblPr>
      <w:tblGrid>
        <w:gridCol w:w="9360"/>
      </w:tblGrid>
      <w:tr>
        <w:trPr>
          <w:cantSplit/>
        </w:trPr>
        <w:tc>
          <w:tcPr>
            <w:tcW w:type="dxa" w:w="9360"/>
            <w:shd w:fill="EEF3F6"/>
            <w:tcMar>
              <w:top w:w="150" w:type="dxa"/>
              <w:start w:w="180" w:type="dxa"/>
              <w:bottom w:w="150" w:type="dxa"/>
              <w:end w:w="180" w:type="dxa"/>
            </w:tcMar>
          </w:tcPr>
          <w:p>
            <w:pPr>
              <w:spacing w:after="40"/>
            </w:pPr>
            <w:r>
              <w:rPr>
                <w:rFonts w:ascii="Arial" w:hAnsi="Arial"/>
                <w:b/>
                <w:i w:val="0"/>
                <w:color w:val="18324A"/>
                <w:sz w:val="18"/>
              </w:rPr>
              <w:t>START HERE</w:t>
            </w:r>
          </w:p>
          <w:p>
            <w:pPr>
              <w:spacing w:before="0" w:after="0" w:line="278" w:lineRule="auto"/>
            </w:pPr>
            <w:r>
              <w:rPr>
                <w:rFonts w:ascii="Arial" w:hAnsi="Arial"/>
                <w:b w:val="0"/>
                <w:i w:val="0"/>
                <w:color w:val="111827"/>
                <w:sz w:val="21"/>
              </w:rPr>
              <w:t>Run a 90-minute founder workshop using this guide. Approve the confirmed foundation, assign owners, select the first interview targets and choose the working launch categories. The category schema and business rules must be ready before final screen design begins.</w:t>
            </w:r>
          </w:p>
        </w:tc>
      </w:tr>
    </w:tbl>
    <w:p>
      <w:pPr>
        <w:keepNext w:val="0"/>
        <w:widowControl/>
        <w:spacing w:before="0" w:after="40" w:line="283" w:lineRule="auto"/>
        <w:jc w:val="left"/>
      </w:pPr>
      <w:r>
        <w:rPr>
          <w:rFonts w:ascii="Arial" w:hAnsi="Arial"/>
          <w:b w:val="0"/>
          <w:i w:val="0"/>
          <w:color w:val="111827"/>
          <w:sz w:val="4"/>
        </w:rPr>
      </w:r>
    </w:p>
    <w:p>
      <w:pPr>
        <w:pStyle w:val="ListNumber"/>
        <w:widowControl/>
        <w:numPr>
          <w:ilvl w:val="0"/>
          <w:numId w:val="14"/>
        </w:numPr>
        <w:spacing w:after="80" w:line="281" w:lineRule="auto"/>
      </w:pPr>
      <w:r>
        <w:rPr>
          <w:rFonts w:ascii="Arial" w:hAnsi="Arial"/>
          <w:b w:val="0"/>
          <w:i w:val="0"/>
          <w:color w:val="111827"/>
          <w:sz w:val="21"/>
        </w:rPr>
        <w:t>Appoint one product decision owner and one commercial/operations owner.</w:t>
      </w:r>
    </w:p>
    <w:p>
      <w:pPr>
        <w:pStyle w:val="ListNumber"/>
        <w:widowControl/>
        <w:numPr>
          <w:ilvl w:val="0"/>
          <w:numId w:val="14"/>
        </w:numPr>
        <w:spacing w:after="80" w:line="281" w:lineRule="auto"/>
      </w:pPr>
      <w:r>
        <w:rPr>
          <w:rFonts w:ascii="Arial" w:hAnsi="Arial"/>
          <w:b w:val="0"/>
          <w:i w:val="0"/>
          <w:color w:val="111827"/>
          <w:sz w:val="21"/>
        </w:rPr>
        <w:t>Create a list of at least 20 provider contacts and 20 customer contacts.</w:t>
      </w:r>
    </w:p>
    <w:p>
      <w:pPr>
        <w:pStyle w:val="ListNumber"/>
        <w:widowControl/>
        <w:numPr>
          <w:ilvl w:val="0"/>
          <w:numId w:val="14"/>
        </w:numPr>
        <w:spacing w:after="80" w:line="281" w:lineRule="auto"/>
      </w:pPr>
      <w:r>
        <w:rPr>
          <w:rFonts w:ascii="Arial" w:hAnsi="Arial"/>
          <w:b w:val="0"/>
          <w:i w:val="0"/>
          <w:color w:val="111827"/>
          <w:sz w:val="21"/>
        </w:rPr>
        <w:t>Schedule the first 10 provider and 10 customer interviews within five days.</w:t>
      </w:r>
    </w:p>
    <w:p>
      <w:pPr>
        <w:pStyle w:val="ListNumber"/>
        <w:widowControl/>
        <w:numPr>
          <w:ilvl w:val="0"/>
          <w:numId w:val="14"/>
        </w:numPr>
        <w:spacing w:after="80" w:line="281" w:lineRule="auto"/>
      </w:pPr>
      <w:r>
        <w:rPr>
          <w:rFonts w:ascii="Arial" w:hAnsi="Arial"/>
          <w:b w:val="0"/>
          <w:i w:val="0"/>
          <w:color w:val="111827"/>
          <w:sz w:val="21"/>
        </w:rPr>
        <w:t>Draft the first category tree and listing fields using real provider inventory.</w:t>
      </w:r>
    </w:p>
    <w:p>
      <w:pPr>
        <w:pStyle w:val="ListNumber"/>
        <w:widowControl/>
        <w:numPr>
          <w:ilvl w:val="0"/>
          <w:numId w:val="14"/>
        </w:numPr>
        <w:spacing w:after="80" w:line="281" w:lineRule="auto"/>
      </w:pPr>
      <w:r>
        <w:rPr>
          <w:rFonts w:ascii="Arial" w:hAnsi="Arial"/>
          <w:b w:val="0"/>
          <w:i w:val="0"/>
          <w:color w:val="111827"/>
          <w:sz w:val="21"/>
        </w:rPr>
        <w:t>Ask Israeli legal counsel for a scoped proposal covering the workstreams in Section 8.</w:t>
      </w:r>
    </w:p>
    <w:p>
      <w:pPr>
        <w:pStyle w:val="ListNumber"/>
        <w:widowControl/>
        <w:numPr>
          <w:ilvl w:val="0"/>
          <w:numId w:val="14"/>
        </w:numPr>
        <w:spacing w:after="80" w:line="281" w:lineRule="auto"/>
      </w:pPr>
      <w:r>
        <w:rPr>
          <w:rFonts w:ascii="Arial" w:hAnsi="Arial"/>
          <w:b w:val="0"/>
          <w:i w:val="0"/>
          <w:color w:val="111827"/>
          <w:sz w:val="21"/>
        </w:rPr>
        <w:t>Build the screen inventory only after the core rules and category data are mapped.</w:t>
      </w:r>
    </w:p>
    <w:p>
      <w:pPr>
        <w:pStyle w:val="Heading2"/>
        <w:keepNext/>
        <w:widowControl/>
      </w:pPr>
      <w:r>
        <w:t>Research references</w:t>
      </w:r>
    </w:p>
    <w:p>
      <w:pPr>
        <w:pStyle w:val="ListBullet"/>
        <w:widowControl/>
        <w:spacing w:after="60"/>
      </w:pPr>
      <w:hyperlink r:id="rId11">
        <w:r>
          <w:rPr>
            <w:color w:val="2E6284"/>
            <w:u w:val="single"/>
          </w:rPr>
          <w:t>Israel Privacy Protection Authority</w:t>
        </w:r>
      </w:hyperlink>
    </w:p>
    <w:p>
      <w:pPr>
        <w:pStyle w:val="ListBullet"/>
        <w:widowControl/>
        <w:spacing w:after="60"/>
      </w:pPr>
      <w:hyperlink r:id="rId12">
        <w:r>
          <w:rPr>
            <w:color w:val="2E6284"/>
            <w:u w:val="single"/>
          </w:rPr>
          <w:t>Privacy Protection Regulations (Data Security), 5777–2017</w:t>
        </w:r>
      </w:hyperlink>
    </w:p>
    <w:p>
      <w:pPr>
        <w:pStyle w:val="ListBullet"/>
        <w:widowControl/>
        <w:spacing w:after="60"/>
      </w:pPr>
      <w:hyperlink r:id="rId13">
        <w:r>
          <w:rPr>
            <w:color w:val="2E6284"/>
            <w:u w:val="single"/>
          </w:rPr>
          <w:t>Israeli digital accessibility guidance</w:t>
        </w:r>
      </w:hyperlink>
    </w:p>
    <w:p>
      <w:pPr>
        <w:pStyle w:val="ListBullet"/>
        <w:widowControl/>
        <w:spacing w:after="60"/>
      </w:pPr>
      <w:hyperlink r:id="rId14">
        <w:r>
          <w:rPr>
            <w:color w:val="2E6284"/>
            <w:u w:val="single"/>
          </w:rPr>
          <w:t>Earthmoving/mechanical engineering equipment licensing service</w:t>
        </w:r>
      </w:hyperlink>
    </w:p>
    <w:p>
      <w:pPr>
        <w:pStyle w:val="ListBullet"/>
        <w:widowControl/>
        <w:spacing w:after="60"/>
      </w:pPr>
      <w:hyperlink r:id="rId15">
        <w:r>
          <w:rPr>
            <w:color w:val="2E6284"/>
            <w:u w:val="single"/>
          </w:rPr>
          <w:t>Israel Tax Authority</w:t>
        </w:r>
      </w:hyperlink>
    </w:p>
    <w:p>
      <w:pPr>
        <w:pStyle w:val="ListBullet"/>
        <w:widowControl/>
        <w:spacing w:after="60"/>
      </w:pPr>
      <w:hyperlink r:id="rId16">
        <w:r>
          <w:rPr>
            <w:color w:val="2E6284"/>
            <w:u w:val="single"/>
          </w:rPr>
          <w:t>DOZR equipment marketplace</w:t>
        </w:r>
      </w:hyperlink>
    </w:p>
    <w:p>
      <w:pPr>
        <w:pStyle w:val="ListBullet"/>
        <w:widowControl/>
        <w:spacing w:after="60"/>
      </w:pPr>
      <w:hyperlink r:id="rId17">
        <w:r>
          <w:rPr>
            <w:color w:val="2E6284"/>
            <w:u w:val="single"/>
          </w:rPr>
          <w:t>BigRentz marketplace</w:t>
        </w:r>
      </w:hyperlink>
    </w:p>
    <w:p>
      <w:pPr>
        <w:pStyle w:val="ListBullet"/>
        <w:widowControl/>
        <w:spacing w:after="60"/>
      </w:pPr>
      <w:hyperlink r:id="rId18">
        <w:r>
          <w:rPr>
            <w:color w:val="2E6284"/>
            <w:u w:val="single"/>
          </w:rPr>
          <w:t>Sharetribe heavy-equipment marketplace guide</w:t>
        </w:r>
      </w:hyperlink>
    </w:p>
    <w:p>
      <w:pPr>
        <w:keepNext w:val="0"/>
        <w:widowControl/>
        <w:spacing w:before="200" w:after="0" w:line="283" w:lineRule="auto"/>
        <w:jc w:val="left"/>
      </w:pPr>
      <w:r>
        <w:rPr>
          <w:rFonts w:ascii="Arial" w:hAnsi="Arial"/>
          <w:b w:val="0"/>
          <w:i/>
          <w:color w:val="667085"/>
          <w:sz w:val="17"/>
        </w:rPr>
        <w:t>Research checked 17 August 2026. Laws, regulatory interpretations and market conditions can change; current advice must be obtained before launch.</w:t>
      </w:r>
    </w:p>
    <w:sectPr w:rsidR="00FC693F" w:rsidRPr="0006063C" w:rsidSect="00034616">
      <w:headerReference w:type="default" r:id="rId9"/>
      <w:footerReference w:type="default" r:id="rId10"/>
      <w:pgSz w:w="12240" w:h="15840"/>
      <w:pgMar w:top="1123" w:right="1224" w:bottom="1037" w:left="1224"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67085"/>
        <w:sz w:val="16"/>
      </w:rPr>
      <w:t>Working document  •  Version 0.1  •  17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rial" w:hAnsi="Arial"/>
        <w:b/>
        <w:i w:val="0"/>
        <w:color w:val="667085"/>
        <w:sz w:val="16"/>
      </w:rPr>
      <w:t>CONSTRUCTION MARKETPLACE  |  STARTUP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rial" w:hAnsi="Arial"/>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8324A"/>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rial" w:hAnsi="Arial"/>
      <w:b/>
      <w:bCs/>
      <w:color w:val="2E6284"/>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832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rPr>
      <w:rFonts w:ascii="Arial" w:hAnsi="Arial"/>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gov.il/en/departments/the_privacy_protection_authority" TargetMode="External"/><Relationship Id="rId12" Type="http://schemas.openxmlformats.org/officeDocument/2006/relationships/hyperlink" Target="https://www.gov.il/en/pages/data_security_regulation" TargetMode="External"/><Relationship Id="rId13" Type="http://schemas.openxmlformats.org/officeDocument/2006/relationships/hyperlink" Target="https://www.gov.il/en/departments/topics/accessibility_information_for_professionals/govil-landing-page" TargetMode="External"/><Relationship Id="rId14" Type="http://schemas.openxmlformats.org/officeDocument/2006/relationships/hyperlink" Target="https://www.gov.il/en/service/license_for_mechanical_engineering_equipment_application" TargetMode="External"/><Relationship Id="rId15" Type="http://schemas.openxmlformats.org/officeDocument/2006/relationships/hyperlink" Target="https://www.gov.il/en/departments/israel_tax_authority" TargetMode="External"/><Relationship Id="rId16" Type="http://schemas.openxmlformats.org/officeDocument/2006/relationships/hyperlink" Target="https://dozr.com/" TargetMode="External"/><Relationship Id="rId17" Type="http://schemas.openxmlformats.org/officeDocument/2006/relationships/hyperlink" Target="https://www.bigrentz.com/marketplace" TargetMode="External"/><Relationship Id="rId18" Type="http://schemas.openxmlformats.org/officeDocument/2006/relationships/hyperlink" Target="https://www.sharetribe.com/create/how-to-build-marketplace-for-heavy-equipment-r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Marketplace for Israel — Startup Planning Guide</dc:title>
  <dc:subject>Foundational guide for validating, designing, building and launching the marketplace</dc:subject>
  <dc:creator>Founding Team</dc:creator>
  <cp:keywords>Israel, construction, marketplace, equipment rental, providers, startup, product design</cp:keywords>
  <dc:description>generated by python-docx</dc:description>
  <cp:lastModifiedBy/>
  <cp:revision>1</cp:revision>
  <dcterms:created xsi:type="dcterms:W3CDTF">2013-12-23T23:15:00Z</dcterms:created>
  <dcterms:modified xsi:type="dcterms:W3CDTF">2013-12-23T23:15:00Z</dcterms:modified>
  <cp:category/>
</cp:coreProperties>
</file>