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Fonts w:ascii="Play" w:cs="Play" w:eastAsia="Play" w:hAnsi="Play"/>
          <w:rtl w:val="0"/>
        </w:rPr>
        <w:t xml:space="preserve">Research Rationale &amp; Recommended App Direction</w:t>
      </w:r>
      <w:r w:rsidDel="00000000" w:rsidR="00000000" w:rsidRPr="00000000">
        <w:rPr>
          <w:rtl w:val="0"/>
        </w:rPr>
      </w:r>
    </w:p>
    <w:p w:rsidR="00000000" w:rsidDel="00000000" w:rsidP="00000000" w:rsidRDefault="00000000" w:rsidRPr="00000000" w14:paraId="00000002">
      <w:pPr>
        <w:pBdr>
          <w:bottom w:color="d6dee7" w:space="5" w:sz="10" w:val="single"/>
        </w:pBdr>
        <w:spacing w:after="100" w:lineRule="auto"/>
        <w:rPr/>
      </w:pPr>
      <w:r w:rsidDel="00000000" w:rsidR="00000000" w:rsidRPr="00000000">
        <w:rPr>
          <w:rFonts w:ascii="Aptos" w:cs="Aptos" w:eastAsia="Aptos" w:hAnsi="Aptos"/>
          <w:i w:val="1"/>
          <w:iCs w:val="1"/>
          <w:color w:val="5c6876"/>
          <w:sz w:val="21"/>
          <w:szCs w:val="21"/>
          <w:rtl w:val="0"/>
        </w:rPr>
        <w:t xml:space="preserve">Why the proposed marketplace scope looks the way it does</w:t>
      </w:r>
      <w:r w:rsidDel="00000000" w:rsidR="00000000" w:rsidRPr="00000000">
        <w:rPr>
          <w:rtl w:val="0"/>
        </w:rPr>
      </w:r>
    </w:p>
    <w:p w:rsidR="00000000" w:rsidDel="00000000" w:rsidP="00000000" w:rsidRDefault="00000000" w:rsidRPr="00000000" w14:paraId="00000003">
      <w:pPr>
        <w:spacing w:after="100" w:lineRule="auto"/>
        <w:rPr/>
      </w:pPr>
      <w:r w:rsidDel="00000000" w:rsidR="00000000" w:rsidRPr="00000000">
        <w:rPr>
          <w:b w:val="1"/>
          <w:bCs w:val="1"/>
          <w:sz w:val="21"/>
          <w:szCs w:val="21"/>
          <w:rtl w:val="0"/>
        </w:rPr>
        <w:t xml:space="preserve">Purpose.</w:t>
      </w:r>
      <w:r w:rsidDel="00000000" w:rsidR="00000000" w:rsidRPr="00000000">
        <w:rPr>
          <w:sz w:val="21"/>
          <w:szCs w:val="21"/>
          <w:rtl w:val="0"/>
        </w:rPr>
        <w:t xml:space="preserve"> We researched the idea from five angles: the Israeli market, competitors, categories and pricing, legal and compliance issues, and the best way to launch the first version. The points below explain why the recommended app scope looks the way it does. This is the product direction, not the final detailed app design.</w:t>
      </w:r>
      <w:r w:rsidDel="00000000" w:rsidR="00000000" w:rsidRPr="00000000">
        <w:rPr>
          <w:rtl w:val="0"/>
        </w:rPr>
      </w:r>
    </w:p>
    <w:p w:rsidR="00000000" w:rsidDel="00000000" w:rsidP="00000000" w:rsidRDefault="00000000" w:rsidRPr="00000000" w14:paraId="00000004">
      <w:pPr>
        <w:pStyle w:val="Heading1"/>
        <w:keepNext w:val="1"/>
        <w:rPr/>
      </w:pPr>
      <w:r w:rsidDel="00000000" w:rsidR="00000000" w:rsidRPr="00000000">
        <w:rPr>
          <w:rtl w:val="0"/>
        </w:rPr>
        <w:t xml:space="preserve">1. What the research established</w:t>
      </w:r>
    </w:p>
    <w:tbl>
      <w:tblPr>
        <w:tblStyle w:val="Table1"/>
        <w:tblW w:w="10340.0" w:type="dxa"/>
        <w:jc w:val="center"/>
        <w:tblLayout w:type="fixed"/>
        <w:tblLook w:val="0400"/>
      </w:tblPr>
      <w:tblGrid>
        <w:gridCol w:w="5170"/>
        <w:gridCol w:w="5170"/>
        <w:tblGridChange w:id="0">
          <w:tblGrid>
            <w:gridCol w:w="5170"/>
            <w:gridCol w:w="5170"/>
          </w:tblGrid>
        </w:tblGridChange>
      </w:tblGrid>
      <w:tr>
        <w:trPr>
          <w:cantSplit w:val="0"/>
          <w:tblHeader w:val="0"/>
        </w:trPr>
        <w:tc>
          <w:tcPr>
            <w:shd w:fill="f4f7fa" w:val="clear"/>
            <w:tcMar>
              <w:top w:w="100.0" w:type="dxa"/>
              <w:bottom w:w="100.0" w:type="dxa"/>
            </w:tcMar>
            <w:vAlign w:val="center"/>
          </w:tcPr>
          <w:p w:rsidR="00000000" w:rsidDel="00000000" w:rsidP="00000000" w:rsidRDefault="00000000" w:rsidRPr="00000000" w14:paraId="00000005">
            <w:pPr>
              <w:rPr/>
            </w:pPr>
            <w:r w:rsidDel="00000000" w:rsidR="00000000" w:rsidRPr="00000000">
              <w:rPr>
                <w:sz w:val="19"/>
                <w:szCs w:val="19"/>
                <w:rtl w:val="0"/>
              </w:rPr>
              <w:t xml:space="preserve">A real sourcing problem exists</w:t>
              <w:br w:type="textWrapping"/>
              <w:t xml:space="preserve">Construction businesses still use many different channels: rental companies, directories, calls, WhatsApp, Facebook and personal contacts. The opportunity is to bring this process into one organised place.</w:t>
            </w:r>
            <w:r w:rsidDel="00000000" w:rsidR="00000000" w:rsidRPr="00000000">
              <w:rPr>
                <w:rtl w:val="0"/>
              </w:rPr>
            </w:r>
          </w:p>
        </w:tc>
        <w:tc>
          <w:tcPr>
            <w:shd w:fill="f4f7fa" w:val="clear"/>
            <w:tcMar>
              <w:top w:w="100.0" w:type="dxa"/>
              <w:bottom w:w="100.0" w:type="dxa"/>
            </w:tcMar>
            <w:vAlign w:val="center"/>
          </w:tcPr>
          <w:p w:rsidR="00000000" w:rsidDel="00000000" w:rsidP="00000000" w:rsidRDefault="00000000" w:rsidRPr="00000000" w14:paraId="00000006">
            <w:pPr>
              <w:rPr/>
            </w:pPr>
            <w:r w:rsidDel="00000000" w:rsidR="00000000" w:rsidRPr="00000000">
              <w:rPr>
                <w:sz w:val="19"/>
                <w:szCs w:val="19"/>
                <w:rtl w:val="0"/>
              </w:rPr>
              <w:t xml:space="preserve">Availability is a core value</w:t>
              <w:br w:type="textWrapping"/>
              <w:t xml:space="preserve">A machine is only useful if it is available in the right place at the right time. This is why availability, distance and response speed need to be shown together with price.</w:t>
            </w:r>
            <w:r w:rsidDel="00000000" w:rsidR="00000000" w:rsidRPr="00000000">
              <w:rPr>
                <w:rtl w:val="0"/>
              </w:rPr>
            </w:r>
          </w:p>
        </w:tc>
      </w:tr>
      <w:tr>
        <w:trPr>
          <w:cantSplit w:val="0"/>
          <w:tblHeader w:val="0"/>
        </w:trPr>
        <w:tc>
          <w:tcPr>
            <w:shd w:fill="f4f7fa" w:val="clear"/>
            <w:tcMar>
              <w:top w:w="100.0" w:type="dxa"/>
              <w:bottom w:w="100.0" w:type="dxa"/>
            </w:tcMar>
            <w:vAlign w:val="center"/>
          </w:tcPr>
          <w:p w:rsidR="00000000" w:rsidDel="00000000" w:rsidP="00000000" w:rsidRDefault="00000000" w:rsidRPr="00000000" w14:paraId="00000007">
            <w:pPr>
              <w:rPr/>
            </w:pPr>
            <w:r w:rsidDel="00000000" w:rsidR="00000000" w:rsidRPr="00000000">
              <w:rPr>
                <w:sz w:val="19"/>
                <w:szCs w:val="19"/>
                <w:rtl w:val="0"/>
              </w:rPr>
              <w:t xml:space="preserve">Different needs require different flows</w:t>
              <w:br w:type="textWrapping"/>
              <w:t xml:space="preserve">Equipment rental, equipment with an operator, construction services and parts do not work the same way. They need different information, pricing and checks.</w:t>
            </w:r>
            <w:r w:rsidDel="00000000" w:rsidR="00000000" w:rsidRPr="00000000">
              <w:rPr>
                <w:rtl w:val="0"/>
              </w:rPr>
            </w:r>
          </w:p>
        </w:tc>
        <w:tc>
          <w:tcPr>
            <w:shd w:fill="f4f7fa" w:val="clear"/>
            <w:tcMar>
              <w:top w:w="100.0" w:type="dxa"/>
              <w:bottom w:w="100.0" w:type="dxa"/>
            </w:tcMar>
            <w:vAlign w:val="center"/>
          </w:tcPr>
          <w:p w:rsidR="00000000" w:rsidDel="00000000" w:rsidP="00000000" w:rsidRDefault="00000000" w:rsidRPr="00000000" w14:paraId="00000008">
            <w:pPr>
              <w:rPr/>
            </w:pPr>
            <w:r w:rsidDel="00000000" w:rsidR="00000000" w:rsidRPr="00000000">
              <w:rPr>
                <w:sz w:val="19"/>
                <w:szCs w:val="19"/>
                <w:rtl w:val="0"/>
              </w:rPr>
              <w:t xml:space="preserve">Trust should be clear</w:t>
              <w:br w:type="textWrapping"/>
              <w:t xml:space="preserve">Some construction categories require specific licences, registrations or qualifications. The app should show exactly what has been checked instead of using one broad 'verified' label.</w:t>
            </w:r>
            <w:r w:rsidDel="00000000" w:rsidR="00000000" w:rsidRPr="00000000">
              <w:rPr>
                <w:rtl w:val="0"/>
              </w:rPr>
            </w:r>
          </w:p>
        </w:tc>
      </w:tr>
    </w:tbl>
    <w:p w:rsidR="00000000" w:rsidDel="00000000" w:rsidP="00000000" w:rsidRDefault="00000000" w:rsidRPr="00000000" w14:paraId="00000009">
      <w:pPr>
        <w:pStyle w:val="Heading1"/>
        <w:keepNext w:val="1"/>
        <w:rPr/>
      </w:pPr>
      <w:r w:rsidDel="00000000" w:rsidR="00000000" w:rsidRPr="00000000">
        <w:rPr>
          <w:rtl w:val="0"/>
        </w:rPr>
        <w:t xml:space="preserve">2. Why the proposed scope starts with equipment</w:t>
      </w:r>
    </w:p>
    <w:p w:rsidR="00000000" w:rsidDel="00000000" w:rsidP="00000000" w:rsidRDefault="00000000" w:rsidRPr="00000000" w14:paraId="0000000A">
      <w:pPr>
        <w:rPr/>
      </w:pPr>
      <w:r w:rsidDel="00000000" w:rsidR="00000000" w:rsidRPr="00000000">
        <w:rPr>
          <w:sz w:val="21"/>
          <w:szCs w:val="21"/>
          <w:rtl w:val="0"/>
        </w:rPr>
        <w:t xml:space="preserve">Equipment is the easiest place to start because it can be described and compared clearly. Buyers need simple facts such as machine size, weight, working height, lift capacity, reach, power and attachments. These details help them quickly see whether a machine can do the job and fit on the site.</w:t>
      </w:r>
      <w:r w:rsidDel="00000000" w:rsidR="00000000" w:rsidRPr="00000000">
        <w:rPr>
          <w:rtl w:val="0"/>
        </w:rPr>
      </w:r>
    </w:p>
    <w:p w:rsidR="00000000" w:rsidDel="00000000" w:rsidP="00000000" w:rsidRDefault="00000000" w:rsidRPr="00000000" w14:paraId="0000000B">
      <w:pPr>
        <w:rPr/>
      </w:pPr>
      <w:r w:rsidDel="00000000" w:rsidR="00000000" w:rsidRPr="00000000">
        <w:rPr>
          <w:sz w:val="21"/>
          <w:szCs w:val="21"/>
          <w:rtl w:val="0"/>
        </w:rPr>
        <w:t xml:space="preserve">The strongest starting groups were mini excavators/skid steers/backhoes; aerial work platforms; telehandlers/forklifts; compaction and concrete equipment; generators/pumps/site power; demolition/drilling/cutting tools; and selected attachments/parts. These categories are commonly needed, have clear technical details, and can often support visible pricing.</w:t>
      </w:r>
      <w:r w:rsidDel="00000000" w:rsidR="00000000" w:rsidRPr="00000000">
        <w:rPr>
          <w:rtl w:val="0"/>
        </w:rPr>
      </w:r>
    </w:p>
    <w:p w:rsidR="00000000" w:rsidDel="00000000" w:rsidP="00000000" w:rsidRDefault="00000000" w:rsidRPr="00000000" w14:paraId="0000000C">
      <w:pPr>
        <w:pStyle w:val="Heading1"/>
        <w:keepNext w:val="1"/>
        <w:rPr/>
      </w:pPr>
      <w:r w:rsidDel="00000000" w:rsidR="00000000" w:rsidRPr="00000000">
        <w:rPr>
          <w:rtl w:val="0"/>
        </w:rPr>
        <w:t xml:space="preserve">3. Why the app needs both fixed pricing and RFQs</w:t>
      </w:r>
    </w:p>
    <w:p w:rsidR="00000000" w:rsidDel="00000000" w:rsidP="00000000" w:rsidRDefault="00000000" w:rsidRPr="00000000" w14:paraId="0000000D">
      <w:pPr>
        <w:rPr/>
      </w:pPr>
      <w:r w:rsidDel="00000000" w:rsidR="00000000" w:rsidRPr="00000000">
        <w:rPr>
          <w:sz w:val="21"/>
          <w:szCs w:val="21"/>
          <w:rtl w:val="0"/>
        </w:rPr>
        <w:t xml:space="preserve">Some Israeli providers already show daily, weekly and monthly rental prices for standard equipment, so the app should keep that price clarity. But many jobs depend on extra costs such as transport, operator time, site access, attachments, permits, fuel or other special conditions. Because of this, the app needs two options: a visible price when the job is simple, and a Request for Quote (RFQ) when the job is more complex.</w:t>
      </w:r>
      <w:r w:rsidDel="00000000" w:rsidR="00000000" w:rsidRPr="00000000">
        <w:rPr>
          <w:rtl w:val="0"/>
        </w:rPr>
      </w:r>
    </w:p>
    <w:tbl>
      <w:tblPr>
        <w:tblStyle w:val="Table2"/>
        <w:tblW w:w="10340.0" w:type="dxa"/>
        <w:jc w:val="center"/>
        <w:tblLayout w:type="fixed"/>
        <w:tblLook w:val="0400"/>
      </w:tblPr>
      <w:tblGrid>
        <w:gridCol w:w="5170"/>
        <w:gridCol w:w="5170"/>
        <w:tblGridChange w:id="0">
          <w:tblGrid>
            <w:gridCol w:w="5170"/>
            <w:gridCol w:w="5170"/>
          </w:tblGrid>
        </w:tblGridChange>
      </w:tblGrid>
      <w:tr>
        <w:trPr>
          <w:cantSplit w:val="0"/>
          <w:tblHeader w:val="0"/>
        </w:trPr>
        <w:tc>
          <w:tcPr>
            <w:shd w:fill="eaf1f7" w:val="clear"/>
            <w:tcMar>
              <w:top w:w="90.0" w:type="dxa"/>
              <w:bottom w:w="90.0" w:type="dxa"/>
            </w:tcMar>
          </w:tcPr>
          <w:p w:rsidR="00000000" w:rsidDel="00000000" w:rsidP="00000000" w:rsidRDefault="00000000" w:rsidRPr="00000000" w14:paraId="0000000E">
            <w:pPr>
              <w:rPr/>
            </w:pPr>
            <w:r w:rsidDel="00000000" w:rsidR="00000000" w:rsidRPr="00000000">
              <w:rPr>
                <w:sz w:val="19"/>
                <w:szCs w:val="19"/>
                <w:rtl w:val="0"/>
              </w:rPr>
              <w:t xml:space="preserve">Fixed / visible price</w:t>
              <w:br w:type="textWrapping"/>
              <w:t xml:space="preserve">For standard equipment where the provider can show a clear base rental price.</w:t>
            </w:r>
            <w:r w:rsidDel="00000000" w:rsidR="00000000" w:rsidRPr="00000000">
              <w:rPr>
                <w:rtl w:val="0"/>
              </w:rPr>
            </w:r>
          </w:p>
        </w:tc>
        <w:tc>
          <w:tcPr>
            <w:shd w:fill="eaf1f7" w:val="clear"/>
            <w:tcMar>
              <w:top w:w="90.0" w:type="dxa"/>
              <w:bottom w:w="90.0" w:type="dxa"/>
            </w:tcMar>
          </w:tcPr>
          <w:p w:rsidR="00000000" w:rsidDel="00000000" w:rsidP="00000000" w:rsidRDefault="00000000" w:rsidRPr="00000000" w14:paraId="0000000F">
            <w:pPr>
              <w:rPr/>
            </w:pPr>
            <w:r w:rsidDel="00000000" w:rsidR="00000000" w:rsidRPr="00000000">
              <w:rPr>
                <w:sz w:val="19"/>
                <w:szCs w:val="19"/>
                <w:rtl w:val="0"/>
              </w:rPr>
              <w:t xml:space="preserve">Request for Quote (RFQ)</w:t>
              <w:br w:type="textWrapping"/>
              <w:t xml:space="preserve">For more complex jobs, operated equipment, transport-heavy work, services or parts where compatibility must be checked.</w:t>
            </w:r>
            <w:r w:rsidDel="00000000" w:rsidR="00000000" w:rsidRPr="00000000">
              <w:rPr>
                <w:rtl w:val="0"/>
              </w:rPr>
            </w:r>
          </w:p>
        </w:tc>
      </w:tr>
    </w:tbl>
    <w:p w:rsidR="00000000" w:rsidDel="00000000" w:rsidP="00000000" w:rsidRDefault="00000000" w:rsidRPr="00000000" w14:paraId="00000010">
      <w:pPr>
        <w:spacing w:after="0" w:lineRule="auto"/>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keepNext w:val="1"/>
        <w:rPr/>
      </w:pPr>
      <w:r w:rsidDel="00000000" w:rsidR="00000000" w:rsidRPr="00000000">
        <w:rPr>
          <w:rtl w:val="0"/>
        </w:rPr>
        <w:t xml:space="preserve">4. Why availability, location and provider response are central</w:t>
      </w:r>
    </w:p>
    <w:p w:rsidR="00000000" w:rsidDel="00000000" w:rsidP="00000000" w:rsidRDefault="00000000" w:rsidRPr="00000000" w14:paraId="00000012">
      <w:pPr>
        <w:rPr/>
      </w:pPr>
      <w:r w:rsidDel="00000000" w:rsidR="00000000" w:rsidRPr="00000000">
        <w:rPr>
          <w:sz w:val="21"/>
          <w:szCs w:val="21"/>
          <w:rtl w:val="0"/>
        </w:rPr>
        <w:t xml:space="preserve">The app is useful only if it helps a customer find something that is actually available for the job. The research showed that customers may need equipment the same day, the next day or for a short planned period. Location, delivery distance and fast provider replies matter just as much as price. This is why the first version should focus on reliable availability and provider confirmation instead of promising instant booking.</w:t>
      </w:r>
      <w:r w:rsidDel="00000000" w:rsidR="00000000" w:rsidRPr="00000000">
        <w:rPr>
          <w:rtl w:val="0"/>
        </w:rPr>
      </w:r>
    </w:p>
    <w:p w:rsidR="00000000" w:rsidDel="00000000" w:rsidP="00000000" w:rsidRDefault="00000000" w:rsidRPr="00000000" w14:paraId="00000013">
      <w:pPr>
        <w:pStyle w:val="Heading1"/>
        <w:keepNext w:val="1"/>
        <w:rPr/>
      </w:pPr>
      <w:r w:rsidDel="00000000" w:rsidR="00000000" w:rsidRPr="00000000">
        <w:rPr>
          <w:rtl w:val="0"/>
        </w:rPr>
        <w:t xml:space="preserve">5. Why operated equipment and crews need extra care</w:t>
      </w:r>
    </w:p>
    <w:p w:rsidR="00000000" w:rsidDel="00000000" w:rsidP="00000000" w:rsidRDefault="00000000" w:rsidRPr="00000000" w14:paraId="00000014">
      <w:pPr>
        <w:rPr/>
      </w:pPr>
      <w:r w:rsidDel="00000000" w:rsidR="00000000" w:rsidRPr="00000000">
        <w:rPr>
          <w:sz w:val="21"/>
          <w:szCs w:val="21"/>
          <w:rtl w:val="0"/>
        </w:rPr>
        <w:t xml:space="preserve">Equipment with an operator needs a different approach. In many cases, the customer is not only renting a machine. They also need the right operator, transport, working hours and sometimes attachments or permits. So the operator's availability and qualifications can be just as important as the machine itself.</w:t>
      </w:r>
      <w:r w:rsidDel="00000000" w:rsidR="00000000" w:rsidRPr="00000000">
        <w:rPr>
          <w:rtl w:val="0"/>
        </w:rPr>
      </w:r>
    </w:p>
    <w:p w:rsidR="00000000" w:rsidDel="00000000" w:rsidP="00000000" w:rsidRDefault="00000000" w:rsidRPr="00000000" w14:paraId="00000015">
      <w:pPr>
        <w:rPr/>
      </w:pPr>
      <w:r w:rsidDel="00000000" w:rsidR="00000000" w:rsidRPr="00000000">
        <w:rPr>
          <w:sz w:val="21"/>
          <w:szCs w:val="21"/>
          <w:rtl w:val="0"/>
        </w:rPr>
        <w:t xml:space="preserve">General labour is more sensitive. Israeli rules can apply to employment placement, manpower contractors, foreign workers and crane operators. For the first version, the safer approach is to work with registered businesses that provide a clear construction service or result. Labour-only listings should stay restricted until Israeli legal counsel confirms the right model.</w:t>
      </w:r>
      <w:r w:rsidDel="00000000" w:rsidR="00000000" w:rsidRPr="00000000">
        <w:rPr>
          <w:rtl w:val="0"/>
        </w:rPr>
      </w:r>
    </w:p>
    <w:p w:rsidR="00000000" w:rsidDel="00000000" w:rsidP="00000000" w:rsidRDefault="00000000" w:rsidRPr="00000000" w14:paraId="00000016">
      <w:pPr>
        <w:pStyle w:val="Heading1"/>
        <w:keepNext w:val="1"/>
        <w:rPr/>
      </w:pPr>
      <w:r w:rsidDel="00000000" w:rsidR="00000000" w:rsidRPr="00000000">
        <w:rPr>
          <w:rtl w:val="0"/>
        </w:rPr>
        <w:t xml:space="preserve">6. Why payments stay outside the platform</w:t>
      </w:r>
    </w:p>
    <w:p w:rsidR="00000000" w:rsidDel="00000000" w:rsidP="00000000" w:rsidRDefault="00000000" w:rsidRPr="00000000" w14:paraId="00000017">
      <w:pPr>
        <w:rPr/>
      </w:pPr>
      <w:r w:rsidDel="00000000" w:rsidR="00000000" w:rsidRPr="00000000">
        <w:rPr>
          <w:sz w:val="21"/>
          <w:szCs w:val="21"/>
          <w:rtl w:val="0"/>
        </w:rPr>
        <w:t xml:space="preserve">The recommended model keeps the platform as the place where businesses find and connect with each other. The customer sends a request or RFQ, the provider replies, and the customer chooses who to work with. The provider and customer then make their own agreement, and the provider invoices and collects payment directly. This also fits the subscription model, where providers pay to access qualified business opportunities instead of paying a commission on each transaction.</w:t>
      </w:r>
      <w:r w:rsidDel="00000000" w:rsidR="00000000" w:rsidRPr="00000000">
        <w:rPr>
          <w:rtl w:val="0"/>
        </w:rPr>
      </w:r>
    </w:p>
    <w:p w:rsidR="00000000" w:rsidDel="00000000" w:rsidP="00000000" w:rsidRDefault="00000000" w:rsidRPr="00000000" w14:paraId="00000018">
      <w:pPr>
        <w:pStyle w:val="Heading1"/>
        <w:keepNext w:val="1"/>
        <w:rPr/>
      </w:pPr>
      <w:r w:rsidDel="00000000" w:rsidR="00000000" w:rsidRPr="00000000">
        <w:rPr>
          <w:rtl w:val="0"/>
        </w:rPr>
        <w:t xml:space="preserve">7. What the overall marketplace should do at this stage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5" w:lineRule="auto"/>
        <w:ind w:left="259" w:right="0" w:hanging="173"/>
        <w:jc w:val="left"/>
        <w:rPr/>
      </w:pPr>
      <w:r w:rsidDel="00000000" w:rsidR="00000000" w:rsidRPr="00000000">
        <w:rPr>
          <w:rFonts w:ascii="Aptos" w:cs="Aptos" w:eastAsia="Aptos" w:hAnsi="Aptos"/>
          <w:b w:val="0"/>
          <w:bCs w:val="0"/>
          <w:i w:val="0"/>
          <w:iCs w:val="0"/>
          <w:smallCaps w:val="0"/>
          <w:strike w:val="0"/>
          <w:color w:val="2c3642"/>
          <w:sz w:val="18"/>
          <w:szCs w:val="18"/>
          <w:u w:val="none"/>
          <w:shd w:fill="auto" w:val="clear"/>
          <w:vertAlign w:val="baseline"/>
          <w:rtl w:val="0"/>
        </w:rPr>
        <w:t xml:space="preserve">Customer side: search by what is needed + location + dates; compare suitable options; send a fixed-price request or RFQ; receive a provider reply; then continue directly with the chosen provider.</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5" w:lineRule="auto"/>
        <w:ind w:left="259" w:right="0" w:hanging="173"/>
        <w:jc w:val="left"/>
        <w:rPr/>
      </w:pPr>
      <w:r w:rsidDel="00000000" w:rsidR="00000000" w:rsidRPr="00000000">
        <w:rPr>
          <w:rFonts w:ascii="Aptos" w:cs="Aptos" w:eastAsia="Aptos" w:hAnsi="Aptos"/>
          <w:b w:val="0"/>
          <w:bCs w:val="0"/>
          <w:i w:val="0"/>
          <w:iCs w:val="0"/>
          <w:smallCaps w:val="0"/>
          <w:strike w:val="0"/>
          <w:color w:val="2c3642"/>
          <w:sz w:val="18"/>
          <w:szCs w:val="18"/>
          <w:u w:val="none"/>
          <w:shd w:fill="auto" w:val="clear"/>
          <w:vertAlign w:val="baseline"/>
          <w:rtl w:val="0"/>
        </w:rPr>
        <w:t xml:space="preserve">Provider side: keep company and listing information up to date; add prices where possible; manage service areas and availability; receive relevant requests; accept, decline or suggest another option; and see the business value created by the subscription.</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6" w:before="0" w:line="245" w:lineRule="auto"/>
        <w:ind w:left="259" w:right="0" w:hanging="173"/>
        <w:jc w:val="left"/>
        <w:rPr/>
      </w:pPr>
      <w:r w:rsidDel="00000000" w:rsidR="00000000" w:rsidRPr="00000000">
        <w:rPr>
          <w:rFonts w:ascii="Aptos" w:cs="Aptos" w:eastAsia="Aptos" w:hAnsi="Aptos"/>
          <w:b w:val="0"/>
          <w:bCs w:val="0"/>
          <w:i w:val="0"/>
          <w:iCs w:val="0"/>
          <w:smallCaps w:val="0"/>
          <w:strike w:val="0"/>
          <w:color w:val="2c3642"/>
          <w:sz w:val="18"/>
          <w:szCs w:val="18"/>
          <w:u w:val="none"/>
          <w:shd w:fill="auto" w:val="clear"/>
          <w:vertAlign w:val="baseline"/>
          <w:rtl w:val="0"/>
        </w:rPr>
        <w:t xml:space="preserve">Marketplace side: organise the information, check defined business or licence details, keep a clear record of requests and quotes, flag old availability, track response quality, and manage providers, categories, reviews and subscriptions.</w:t>
      </w:r>
    </w:p>
    <w:p w:rsidR="00000000" w:rsidDel="00000000" w:rsidP="00000000" w:rsidRDefault="00000000" w:rsidRPr="00000000" w14:paraId="0000001C">
      <w:pPr>
        <w:pStyle w:val="Heading1"/>
        <w:keepNext w:val="1"/>
        <w:rPr/>
      </w:pPr>
      <w:r w:rsidDel="00000000" w:rsidR="00000000" w:rsidRPr="00000000">
        <w:rPr>
          <w:rtl w:val="0"/>
        </w:rPr>
        <w:t xml:space="preserve">8. What the research says the MVP must prove</w:t>
      </w:r>
    </w:p>
    <w:tbl>
      <w:tblPr>
        <w:tblStyle w:val="Table3"/>
        <w:tblW w:w="10340.0" w:type="dxa"/>
        <w:jc w:val="center"/>
        <w:tblLayout w:type="fixed"/>
        <w:tblLook w:val="0400"/>
      </w:tblPr>
      <w:tblGrid>
        <w:gridCol w:w="10340"/>
        <w:tblGridChange w:id="0">
          <w:tblGrid>
            <w:gridCol w:w="10340"/>
          </w:tblGrid>
        </w:tblGridChange>
      </w:tblGrid>
      <w:tr>
        <w:trPr>
          <w:cantSplit w:val="0"/>
          <w:tblHeader w:val="0"/>
        </w:trPr>
        <w:tc>
          <w:tcPr>
            <w:shd w:fill="eaf1f7" w:val="clear"/>
            <w:tcMar>
              <w:top w:w="110.0" w:type="dxa"/>
              <w:bottom w:w="110.0" w:type="dxa"/>
            </w:tcMar>
          </w:tcPr>
          <w:p w:rsidR="00000000" w:rsidDel="00000000" w:rsidP="00000000" w:rsidRDefault="00000000" w:rsidRPr="00000000" w14:paraId="0000001D">
            <w:pPr>
              <w:rPr/>
            </w:pPr>
            <w:r w:rsidDel="00000000" w:rsidR="00000000" w:rsidRPr="00000000">
              <w:rPr>
                <w:sz w:val="19"/>
                <w:szCs w:val="19"/>
                <w:rtl w:val="0"/>
              </w:rPr>
              <w:t xml:space="preserve">The MVP works if it can repeatedly turn a real construction need into a reliable, provider-confirmed match for the right location and dates.</w:t>
              <w:br w:type="textWrapping"/>
              <w:br w:type="textWrapping"/>
              <w:t xml:space="preserve">At the beginning, this matters more than having the biggest catalogue, every category, instant booking, native mobile apps or complex integrations.</w:t>
            </w:r>
            <w:r w:rsidDel="00000000" w:rsidR="00000000" w:rsidRPr="00000000">
              <w:rPr>
                <w:rtl w:val="0"/>
              </w:rPr>
            </w:r>
          </w:p>
        </w:tc>
      </w:tr>
    </w:tbl>
    <w:p w:rsidR="00000000" w:rsidDel="00000000" w:rsidP="00000000" w:rsidRDefault="00000000" w:rsidRPr="00000000" w14:paraId="0000001E">
      <w:pPr>
        <w:pStyle w:val="Heading2"/>
        <w:keepNext w:val="1"/>
        <w:rPr/>
      </w:pPr>
      <w:r w:rsidDel="00000000" w:rsidR="00000000" w:rsidRPr="00000000">
        <w:rPr>
          <w:rtl w:val="0"/>
        </w:rPr>
        <w:t xml:space="preserve">What is deliberately not finalised yet</w:t>
      </w:r>
    </w:p>
    <w:p w:rsidR="00000000" w:rsidDel="00000000" w:rsidP="00000000" w:rsidRDefault="00000000" w:rsidRPr="00000000" w14:paraId="0000001F">
      <w:pPr>
        <w:spacing w:after="20" w:lineRule="auto"/>
        <w:rPr/>
      </w:pPr>
      <w:r w:rsidDel="00000000" w:rsidR="00000000" w:rsidRPr="00000000">
        <w:rPr>
          <w:sz w:val="21"/>
          <w:szCs w:val="21"/>
          <w:rtl w:val="0"/>
        </w:rPr>
        <w:t xml:space="preserve">The research gives us a clear direction, but it does not finalise every part of the app. Exact screens, navigation, notifications, subscription prices, onboarding steps, ranking rules, technical setup and every data field should be decided in the next product-design phase. For now, the goal is to stay focused on the parts supported by the research.</w:t>
      </w:r>
      <w:r w:rsidDel="00000000" w:rsidR="00000000" w:rsidRPr="00000000">
        <w:rPr>
          <w:rtl w:val="0"/>
        </w:rPr>
      </w:r>
    </w:p>
    <w:sectPr>
      <w:headerReference r:id="rId7" w:type="default"/>
      <w:footerReference r:id="rId8" w:type="default"/>
      <w:pgSz w:h="15840" w:w="12240" w:orient="portrait"/>
      <w:pgMar w:bottom="720" w:top="749" w:left="950" w:right="9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2c3642"/>
        <w:sz w:val="19"/>
        <w:szCs w:val="19"/>
        <w:u w:val="none"/>
        <w:shd w:fill="auto" w:val="clear"/>
        <w:vertAlign w:val="baseline"/>
      </w:rPr>
    </w:pPr>
    <w:r w:rsidDel="00000000" w:rsidR="00000000" w:rsidRPr="00000000">
      <w:rPr>
        <w:rFonts w:ascii="Aptos" w:cs="Aptos" w:eastAsia="Aptos" w:hAnsi="Aptos"/>
        <w:b w:val="0"/>
        <w:bCs w:val="0"/>
        <w:i w:val="0"/>
        <w:iCs w:val="0"/>
        <w:smallCaps w:val="0"/>
        <w:strike w:val="0"/>
        <w:color w:val="828a92"/>
        <w:sz w:val="15"/>
        <w:szCs w:val="15"/>
        <w:u w:val="none"/>
        <w:shd w:fill="auto" w:val="clear"/>
        <w:vertAlign w:val="baseline"/>
        <w:rtl w:val="0"/>
      </w:rPr>
      <w:t xml:space="preserve">Prepared from the five research studies completed through 17 August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2c3642"/>
        <w:sz w:val="19"/>
        <w:szCs w:val="19"/>
        <w:u w:val="none"/>
        <w:shd w:fill="auto" w:val="clear"/>
        <w:vertAlign w:val="baseline"/>
      </w:rPr>
    </w:pPr>
    <w:r w:rsidDel="00000000" w:rsidR="00000000" w:rsidRPr="00000000">
      <w:rPr>
        <w:rFonts w:ascii="Aptos" w:cs="Aptos" w:eastAsia="Aptos" w:hAnsi="Aptos"/>
        <w:b w:val="0"/>
        <w:bCs w:val="0"/>
        <w:i w:val="0"/>
        <w:iCs w:val="0"/>
        <w:smallCaps w:val="0"/>
        <w:strike w:val="0"/>
        <w:color w:val="78828c"/>
        <w:sz w:val="15"/>
        <w:szCs w:val="15"/>
        <w:u w:val="none"/>
        <w:shd w:fill="auto" w:val="clear"/>
        <w:vertAlign w:val="baseline"/>
        <w:rtl w:val="0"/>
      </w:rPr>
      <w:t xml:space="preserve">Israeli B2B Construction Marketplace  |  Research-backed direction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color w:val="2c3642"/>
        <w:sz w:val="19"/>
        <w:szCs w:val="19"/>
        <w:lang w:val="en"/>
      </w:rPr>
    </w:rPrDefault>
    <w:pPrDefault>
      <w:pPr>
        <w:spacing w:after="84"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52" w:before="110" w:lineRule="auto"/>
    </w:pPr>
    <w:rPr>
      <w:rFonts w:ascii="Play" w:cs="Play" w:eastAsia="Play" w:hAnsi="Play"/>
      <w:b w:val="1"/>
      <w:bCs w:val="1"/>
      <w:color w:val="1b3757"/>
      <w:sz w:val="25"/>
      <w:szCs w:val="25"/>
    </w:rPr>
  </w:style>
  <w:style w:type="paragraph" w:styleId="Heading2">
    <w:name w:val="heading 2"/>
    <w:basedOn w:val="Normal"/>
    <w:next w:val="Normal"/>
    <w:pPr>
      <w:keepNext w:val="1"/>
      <w:keepLines w:val="1"/>
      <w:spacing w:after="30" w:before="60" w:lineRule="auto"/>
    </w:pPr>
    <w:rPr>
      <w:rFonts w:ascii="Aptos" w:cs="Aptos" w:eastAsia="Aptos" w:hAnsi="Aptos"/>
      <w:b w:val="1"/>
      <w:bCs w:val="1"/>
      <w:color w:val="2d5276"/>
      <w:sz w:val="20"/>
      <w:szCs w:val="20"/>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40" w:line="240" w:lineRule="auto"/>
    </w:pPr>
    <w:rPr>
      <w:rFonts w:ascii="Play" w:cs="Play" w:eastAsia="Play" w:hAnsi="Play"/>
      <w:b w:val="1"/>
      <w:bCs w:val="1"/>
      <w:color w:val="1b3757"/>
      <w:sz w:val="40"/>
      <w:szCs w:val="40"/>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rPr>
      <w:rFonts w:ascii="Aptos" w:hAnsi="Aptos"/>
      <w:sz w:val="18"/>
    </w:r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PYp+r8XfPraMHqc5oQp1P6bfQ==">CgMxLjA4AHIhMXAwZy1yNmdiWjlXVnFnQm5nSi1HRTVHbDY5RWFlbHNH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