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left"/>
      </w:pPr>
      <w:r>
        <w:rPr>
          <w:b/>
          <w:color w:val="1F4E79"/>
          <w:sz w:val="42"/>
        </w:rPr>
        <w:t>Proposed App Scope</w:t>
      </w:r>
    </w:p>
    <w:p>
      <w:pPr>
        <w:spacing w:after="140"/>
      </w:pPr>
      <w:r>
        <w:rPr>
          <w:i/>
          <w:color w:val="5A5A5A"/>
          <w:sz w:val="21"/>
        </w:rPr>
        <w:t>Research-backed direction for the Israeli B2B construction marketplace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c>
          <w:tcPr>
            <w:tcW w:type="dxa" w:w="10656"/>
            <w:shd w:fill="EAF2F8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spacing w:after="0"/>
            </w:pPr>
            <w:r>
              <w:rPr>
                <w:b/>
                <w:sz w:val="19"/>
              </w:rPr>
              <w:t xml:space="preserve">Recommended direction: </w:t>
            </w:r>
            <w:r>
              <w:rPr>
                <w:sz w:val="19"/>
              </w:rPr>
              <w:t>a B2B marketplace connecting Israeli construction businesses with verified providers of equipment, machinery and related services, built around location, dates, availability, structured listings and provider response.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E1E8"/>
          <w:left w:val="single" w:sz="4" w:color="D9E1E8"/>
          <w:bottom w:val="single" w:sz="4" w:color="D9E1E8"/>
          <w:right w:val="single" w:sz="4" w:color="D9E1E8"/>
          <w:insideH w:val="single" w:sz="4" w:color="D9E1E8"/>
          <w:insideV w:val="single" w:sz="4" w:color="D9E1E8"/>
        </w:tblBorders>
      </w:tblPr>
      <w:tblGrid>
        <w:gridCol w:w="2333"/>
        <w:gridCol w:w="8107"/>
      </w:tblGrid>
      <w:tr>
        <w:trPr>
          <w:tblHeader w:val="true"/>
        </w:trPr>
        <w:tc>
          <w:tcPr>
            <w:tcW w:type="dxa" w:w="5328"/>
            <w:shd w:fill="1F4E79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Area</w:t>
            </w:r>
          </w:p>
        </w:tc>
        <w:tc>
          <w:tcPr>
            <w:tcW w:type="dxa" w:w="5328"/>
            <w:shd w:fill="1F4E79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Research-backed direction</w:t>
            </w:r>
          </w:p>
        </w:tc>
      </w:tr>
      <w:tr>
        <w:tc>
          <w:tcPr>
            <w:tcW w:type="dxa" w:w="2333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>Users</w:t>
            </w:r>
          </w:p>
        </w:tc>
        <w:tc>
          <w:tcPr>
            <w:tcW w:type="dxa" w:w="8107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</w:tcPr>
          <w:p>
            <w:pPr>
              <w:spacing w:after="0"/>
            </w:pPr>
            <w:r>
              <w:rPr>
                <w:sz w:val="16"/>
              </w:rPr>
              <w:t>Israeli business customers and verified business providers</w:t>
            </w:r>
          </w:p>
        </w:tc>
      </w:tr>
      <w:tr>
        <w:tc>
          <w:tcPr>
            <w:tcW w:type="dxa" w:w="2333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b/>
                <w:sz w:val="16"/>
              </w:rPr>
              <w:t>Initial supply</w:t>
            </w:r>
          </w:p>
        </w:tc>
        <w:tc>
          <w:tcPr>
            <w:tcW w:type="dxa" w:w="8107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sz w:val="16"/>
              </w:rPr>
              <w:t>Construction equipment, machinery, equipment with operators, selected specialist services, parts &amp; attachments</w:t>
            </w:r>
          </w:p>
        </w:tc>
      </w:tr>
      <w:tr>
        <w:tc>
          <w:tcPr>
            <w:tcW w:type="dxa" w:w="2333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>Core discovery</w:t>
            </w:r>
          </w:p>
        </w:tc>
        <w:tc>
          <w:tcPr>
            <w:tcW w:type="dxa" w:w="8107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</w:tcPr>
          <w:p>
            <w:pPr>
              <w:spacing w:after="0"/>
            </w:pPr>
            <w:r>
              <w:rPr>
                <w:sz w:val="16"/>
              </w:rPr>
              <w:t>Search primarily by equipment/service + location + required dates</w:t>
            </w:r>
          </w:p>
        </w:tc>
      </w:tr>
      <w:tr>
        <w:tc>
          <w:tcPr>
            <w:tcW w:type="dxa" w:w="2333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b/>
                <w:sz w:val="16"/>
              </w:rPr>
              <w:t>Availability</w:t>
            </w:r>
          </w:p>
        </w:tc>
        <w:tc>
          <w:tcPr>
            <w:tcW w:type="dxa" w:w="8107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sz w:val="16"/>
              </w:rPr>
              <w:t>Provider-managed availability so customers can identify relevant supply for the required period</w:t>
            </w:r>
          </w:p>
        </w:tc>
      </w:tr>
      <w:tr>
        <w:tc>
          <w:tcPr>
            <w:tcW w:type="dxa" w:w="2333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>Pricing</w:t>
            </w:r>
          </w:p>
        </w:tc>
        <w:tc>
          <w:tcPr>
            <w:tcW w:type="dxa" w:w="8107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</w:tcPr>
          <w:p>
            <w:pPr>
              <w:spacing w:after="0"/>
            </w:pPr>
            <w:r>
              <w:rPr>
                <w:sz w:val="16"/>
              </w:rPr>
              <w:t>Fixed daily / weekly / monthly pricing where practical</w:t>
            </w:r>
          </w:p>
        </w:tc>
      </w:tr>
      <w:tr>
        <w:tc>
          <w:tcPr>
            <w:tcW w:type="dxa" w:w="2333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b/>
                <w:sz w:val="16"/>
              </w:rPr>
              <w:t>Complex requirements</w:t>
            </w:r>
          </w:p>
        </w:tc>
        <w:tc>
          <w:tcPr>
            <w:tcW w:type="dxa" w:w="8107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sz w:val="16"/>
              </w:rPr>
              <w:t>Separate Request for Quote (RFQ) option</w:t>
            </w:r>
          </w:p>
        </w:tc>
      </w:tr>
      <w:tr>
        <w:tc>
          <w:tcPr>
            <w:tcW w:type="dxa" w:w="2333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>Provider information</w:t>
            </w:r>
          </w:p>
        </w:tc>
        <w:tc>
          <w:tcPr>
            <w:tcW w:type="dxa" w:w="8107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</w:tcPr>
          <w:p>
            <w:pPr>
              <w:spacing w:after="0"/>
            </w:pPr>
            <w:r>
              <w:rPr>
                <w:sz w:val="16"/>
              </w:rPr>
              <w:t>Business profile, equipment/service information and relevant verification/documentation</w:t>
            </w:r>
          </w:p>
        </w:tc>
      </w:tr>
      <w:tr>
        <w:tc>
          <w:tcPr>
            <w:tcW w:type="dxa" w:w="2333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b/>
                <w:sz w:val="16"/>
              </w:rPr>
              <w:t>Listings</w:t>
            </w:r>
          </w:p>
        </w:tc>
        <w:tc>
          <w:tcPr>
            <w:tcW w:type="dxa" w:w="8107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sz w:val="16"/>
              </w:rPr>
              <w:t>Structured by category — not one generic listing format for everything</w:t>
            </w:r>
          </w:p>
        </w:tc>
      </w:tr>
      <w:tr>
        <w:tc>
          <w:tcPr>
            <w:tcW w:type="dxa" w:w="2333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>Communication</w:t>
            </w:r>
          </w:p>
        </w:tc>
        <w:tc>
          <w:tcPr>
            <w:tcW w:type="dxa" w:w="8107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</w:tcPr>
          <w:p>
            <w:pPr>
              <w:spacing w:after="0"/>
            </w:pPr>
            <w:r>
              <w:rPr>
                <w:sz w:val="16"/>
              </w:rPr>
              <w:t>Customer sends request → provider responds → parties proceed directly</w:t>
            </w:r>
          </w:p>
        </w:tc>
      </w:tr>
      <w:tr>
        <w:tc>
          <w:tcPr>
            <w:tcW w:type="dxa" w:w="2333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b/>
                <w:sz w:val="16"/>
              </w:rPr>
              <w:t>Payments</w:t>
            </w:r>
          </w:p>
        </w:tc>
        <w:tc>
          <w:tcPr>
            <w:tcW w:type="dxa" w:w="8107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sz w:val="16"/>
              </w:rPr>
              <w:t>Outside the platform, directly between customer and provider</w:t>
            </w:r>
          </w:p>
        </w:tc>
      </w:tr>
      <w:tr>
        <w:tc>
          <w:tcPr>
            <w:tcW w:type="dxa" w:w="2333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>Revenue model</w:t>
            </w:r>
          </w:p>
        </w:tc>
        <w:tc>
          <w:tcPr>
            <w:tcW w:type="dxa" w:w="8107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</w:tcPr>
          <w:p>
            <w:pPr>
              <w:spacing w:after="0"/>
            </w:pPr>
            <w:r>
              <w:rPr>
                <w:sz w:val="16"/>
              </w:rPr>
              <w:t>Provider subscription rather than transaction commission</w:t>
            </w:r>
          </w:p>
        </w:tc>
      </w:tr>
      <w:tr>
        <w:tc>
          <w:tcPr>
            <w:tcW w:type="dxa" w:w="2333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b/>
                <w:sz w:val="16"/>
              </w:rPr>
              <w:t>Trust</w:t>
            </w:r>
          </w:p>
        </w:tc>
        <w:tc>
          <w:tcPr>
            <w:tcW w:type="dxa" w:w="8107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sz w:val="16"/>
              </w:rPr>
              <w:t>Business verification + category-specific documentation/licensing where relevant</w:t>
            </w:r>
          </w:p>
        </w:tc>
      </w:tr>
      <w:tr>
        <w:tc>
          <w:tcPr>
            <w:tcW w:type="dxa" w:w="2333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>Marketplace operations</w:t>
            </w:r>
          </w:p>
        </w:tc>
        <w:tc>
          <w:tcPr>
            <w:tcW w:type="dxa" w:w="8107"/>
            <w:tcMar>
              <w:top w:w="58" w:type="dxa"/>
              <w:start w:w="88" w:type="dxa"/>
              <w:bottom w:w="58" w:type="dxa"/>
              <w:end w:w="88" w:type="dxa"/>
            </w:tcMar>
            <w:vAlign w:val="center"/>
          </w:tcPr>
          <w:p>
            <w:pPr>
              <w:spacing w:after="0"/>
            </w:pPr>
            <w:r>
              <w:rPr>
                <w:sz w:val="16"/>
              </w:rPr>
              <w:t>Admin oversight for providers, verification, listings, categories, requests, reviews and subscriptions</w:t>
            </w:r>
          </w:p>
        </w:tc>
      </w:tr>
    </w:tbl>
    <w:p>
      <w:pPr>
        <w:spacing w:before="120" w:after="40"/>
      </w:pPr>
      <w:r>
        <w:rPr>
          <w:b/>
          <w:color w:val="1F4E79"/>
          <w:sz w:val="22"/>
        </w:rPr>
        <w:t>Recommended starting categories</w:t>
      </w:r>
    </w:p>
    <w:p>
      <w:pPr>
        <w:spacing w:after="60"/>
        <w:ind w:left="58"/>
      </w:pPr>
      <w:r>
        <w:rPr>
          <w:b/>
          <w:sz w:val="17"/>
        </w:rPr>
        <w:t xml:space="preserve">Priority: </w:t>
      </w:r>
      <w:r>
        <w:rPr>
          <w:sz w:val="17"/>
        </w:rPr>
        <w:t>Mini excavators / skid steers / backhoes • Aerial work platforms • Telehandlers / forklifts • Compaction &amp; concrete equipment • Generators / pumps / site power • Demolition / drilling / cutting tools • Attachments &amp; machine parts.</w:t>
      </w:r>
    </w:p>
    <w:p>
      <w:pPr>
        <w:spacing w:after="60"/>
        <w:ind w:left="58"/>
      </w:pPr>
      <w:r>
        <w:rPr>
          <w:b/>
          <w:sz w:val="17"/>
        </w:rPr>
        <w:t xml:space="preserve">Introduce progressively: </w:t>
      </w:r>
      <w:r>
        <w:rPr>
          <w:sz w:val="17"/>
        </w:rPr>
        <w:t>More complex specialist construction services and operated-equipment workflows.</w:t>
      </w:r>
    </w:p>
    <w:p>
      <w:pPr>
        <w:spacing w:after="100"/>
        <w:ind w:left="58"/>
      </w:pPr>
      <w:r>
        <w:rPr>
          <w:b/>
          <w:sz w:val="17"/>
        </w:rPr>
        <w:t xml:space="preserve">Restrict initially: </w:t>
      </w:r>
      <w:r>
        <w:rPr>
          <w:sz w:val="17"/>
        </w:rPr>
        <w:t>Generic labour / “workers for hire” listings until Israeli manpower, employment and foreign-worker requirements are legally validated.</w:t>
      </w:r>
    </w:p>
    <w:p>
      <w:pPr>
        <w:spacing w:after="40"/>
      </w:pPr>
      <w:r>
        <w:rPr>
          <w:b/>
          <w:color w:val="1F4E79"/>
          <w:sz w:val="22"/>
        </w:rPr>
        <w:t>Core marketplace flow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c>
          <w:tcPr>
            <w:tcW w:type="dxa" w:w="10656"/>
            <w:shd w:fill="F2F5F7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b/>
                <w:sz w:val="17"/>
              </w:rPr>
              <w:t>Customer need → Equipment / service + location + dates → Matching providers → Compare supply → Fixed-price request or RFQ → Provider response → Customer confirms → Provider &amp; customer transact directly</w:t>
            </w:r>
          </w:p>
        </w:tc>
      </w:tr>
    </w:tbl>
    <w:p>
      <w:pPr>
        <w:spacing w:before="100" w:after="20"/>
      </w:pPr>
      <w:r>
        <w:rPr>
          <w:b/>
          <w:color w:val="1F4E79"/>
          <w:sz w:val="22"/>
        </w:rPr>
        <w:t>What the MVP needs to prove</w:t>
      </w:r>
    </w:p>
    <w:p>
      <w:pPr>
        <w:spacing w:after="0"/>
      </w:pPr>
      <w:r>
        <w:rPr>
          <w:sz w:val="17"/>
        </w:rPr>
        <w:t xml:space="preserve">The first version does not need to digitise the entire construction industry. Its primary objective is to prove that the marketplace can repeatedly turn a real construction requirement into a </w:t>
      </w:r>
      <w:r>
        <w:rPr>
          <w:b/>
          <w:sz w:val="17"/>
        </w:rPr>
        <w:t>credible, available, provider-confirmed match in the required location and time window.</w:t>
      </w:r>
    </w:p>
    <w:sectPr w:rsidR="00FC693F" w:rsidRPr="0006063C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787878"/>
        <w:sz w:val="15"/>
      </w:rPr>
      <w:t>Prepared from the five research studies completed to date • August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